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B80" w:rsidRDefault="00B24876" w:rsidP="00085B80">
      <w:pPr>
        <w:spacing w:after="120"/>
        <w:jc w:val="both"/>
        <w:rPr>
          <w:rFonts w:ascii="Bookman Old Style" w:hAnsi="Bookman Old Style" w:cs="Courier New"/>
          <w:b/>
          <w:lang w:val="es-EC"/>
        </w:rPr>
      </w:pPr>
      <w:r w:rsidRPr="00EA0F76">
        <w:rPr>
          <w:rFonts w:ascii="Bookman Old Style" w:hAnsi="Bookman Old Style" w:cs="Courier New"/>
          <w:b/>
          <w:lang w:val="es-EC"/>
        </w:rPr>
        <w:t xml:space="preserve">PREPARACIÓN DE LOS ESTUDIANTES PARA EL EXAMEN SER BACHILLER Y SU SATISFACCIÓN </w:t>
      </w:r>
      <w:r>
        <w:rPr>
          <w:rFonts w:ascii="Bookman Old Style" w:hAnsi="Bookman Old Style" w:cs="Courier New"/>
          <w:b/>
          <w:lang w:val="es-EC"/>
        </w:rPr>
        <w:t>CON</w:t>
      </w:r>
      <w:r w:rsidRPr="00EA0F76">
        <w:rPr>
          <w:rFonts w:ascii="Bookman Old Style" w:hAnsi="Bookman Old Style" w:cs="Courier New"/>
          <w:b/>
          <w:lang w:val="es-EC"/>
        </w:rPr>
        <w:t xml:space="preserve"> LA CARRERA QUE OBTUVIERON</w:t>
      </w:r>
    </w:p>
    <w:p w:rsidR="00350E42" w:rsidRPr="00350E42" w:rsidRDefault="00350E42" w:rsidP="00350E42">
      <w:pPr>
        <w:spacing w:after="240"/>
        <w:jc w:val="both"/>
        <w:rPr>
          <w:rFonts w:ascii="Bookman Old Style" w:hAnsi="Bookman Old Style"/>
          <w:lang w:val="es-EC"/>
        </w:rPr>
      </w:pPr>
      <w:r w:rsidRPr="00350E42">
        <w:rPr>
          <w:rFonts w:ascii="Bookman Old Style" w:hAnsi="Bookman Old Style"/>
          <w:lang w:val="es-EC"/>
        </w:rPr>
        <w:t>PREPARACIÓN PARA EL EXAMEN SER BACHILLER Y SATISFACCIÓN CON LA CARRERA</w:t>
      </w:r>
    </w:p>
    <w:p w:rsidR="00085B80" w:rsidRPr="003B78BF" w:rsidRDefault="00085B80" w:rsidP="003B78BF">
      <w:pPr>
        <w:spacing w:after="120"/>
        <w:jc w:val="both"/>
        <w:rPr>
          <w:rFonts w:ascii="Bookman Old Style" w:hAnsi="Bookman Old Style" w:cs="Courier New"/>
        </w:rPr>
      </w:pPr>
      <w:r w:rsidRPr="003B78BF">
        <w:rPr>
          <w:rFonts w:ascii="Bookman Old Style" w:hAnsi="Bookman Old Style" w:cs="Courier New"/>
        </w:rPr>
        <w:t>AUTORES:</w:t>
      </w:r>
      <w:r w:rsidRPr="003B78BF">
        <w:rPr>
          <w:rFonts w:ascii="Bookman Old Style" w:hAnsi="Bookman Old Style" w:cs="Courier New"/>
          <w:b/>
        </w:rPr>
        <w:t xml:space="preserve"> </w:t>
      </w:r>
      <w:r w:rsidRPr="003B78BF">
        <w:rPr>
          <w:rFonts w:ascii="Bookman Old Style" w:hAnsi="Bookman Old Style" w:cs="Courier New"/>
          <w:b/>
        </w:rPr>
        <w:tab/>
      </w:r>
      <w:r w:rsidR="003B78BF" w:rsidRPr="003B78BF">
        <w:rPr>
          <w:rFonts w:ascii="Bookman Old Style" w:hAnsi="Bookman Old Style" w:cs="Courier New"/>
          <w:b/>
        </w:rPr>
        <w:tab/>
      </w:r>
      <w:r w:rsidR="003B78BF" w:rsidRPr="003B78BF">
        <w:rPr>
          <w:rFonts w:ascii="Bookman Old Style" w:hAnsi="Bookman Old Style"/>
        </w:rPr>
        <w:t>Mirna Cecilia Oviedo</w:t>
      </w:r>
      <w:r w:rsidR="00EA0F76" w:rsidRPr="003B78BF">
        <w:rPr>
          <w:rStyle w:val="Refdenotaalpie"/>
          <w:rFonts w:ascii="Bookman Old Style" w:hAnsi="Bookman Old Style" w:cs="Courier New"/>
        </w:rPr>
        <w:footnoteReference w:id="1"/>
      </w:r>
      <w:r w:rsidR="00EA0F76" w:rsidRPr="003B78BF">
        <w:rPr>
          <w:rFonts w:ascii="Bookman Old Style" w:hAnsi="Bookman Old Style" w:cs="Courier New"/>
        </w:rPr>
        <w:t xml:space="preserve"> </w:t>
      </w:r>
    </w:p>
    <w:p w:rsidR="003B78BF" w:rsidRPr="003B78BF" w:rsidRDefault="003B78BF" w:rsidP="003B78BF">
      <w:pPr>
        <w:spacing w:after="120"/>
        <w:ind w:left="1416" w:firstLine="708"/>
        <w:jc w:val="both"/>
        <w:rPr>
          <w:rFonts w:ascii="Bookman Old Style" w:hAnsi="Bookman Old Style" w:cs="Courier New"/>
        </w:rPr>
      </w:pPr>
      <w:r w:rsidRPr="003B78BF">
        <w:rPr>
          <w:rFonts w:ascii="Bookman Old Style" w:hAnsi="Bookman Old Style"/>
        </w:rPr>
        <w:t>Lilian Sosa Fernández-Aballí</w:t>
      </w:r>
      <w:r w:rsidRPr="003B78BF">
        <w:rPr>
          <w:rStyle w:val="Refdenotaalpie"/>
          <w:rFonts w:ascii="Bookman Old Style" w:hAnsi="Bookman Old Style" w:cs="Courier New"/>
        </w:rPr>
        <w:footnoteReference w:id="2"/>
      </w:r>
    </w:p>
    <w:p w:rsidR="003B78BF" w:rsidRPr="003B78BF" w:rsidRDefault="003B78BF" w:rsidP="003B78BF">
      <w:pPr>
        <w:spacing w:after="120"/>
        <w:ind w:left="1416" w:firstLine="708"/>
        <w:jc w:val="both"/>
        <w:rPr>
          <w:rFonts w:ascii="Bookman Old Style" w:hAnsi="Bookman Old Style" w:cs="Courier New"/>
        </w:rPr>
      </w:pPr>
      <w:r w:rsidRPr="003B78BF">
        <w:rPr>
          <w:rFonts w:ascii="Bookman Old Style" w:hAnsi="Bookman Old Style"/>
        </w:rPr>
        <w:t>Rosalba Bravo Saltos</w:t>
      </w:r>
      <w:r w:rsidRPr="003B78BF">
        <w:rPr>
          <w:rStyle w:val="Refdenotaalpie"/>
          <w:rFonts w:ascii="Bookman Old Style" w:hAnsi="Bookman Old Style" w:cs="Courier New"/>
        </w:rPr>
        <w:footnoteReference w:id="3"/>
      </w:r>
    </w:p>
    <w:p w:rsidR="003B78BF" w:rsidRPr="003B78BF" w:rsidRDefault="003B78BF" w:rsidP="003B78BF">
      <w:pPr>
        <w:spacing w:after="120"/>
        <w:ind w:left="1416" w:firstLine="708"/>
        <w:jc w:val="both"/>
        <w:rPr>
          <w:rFonts w:ascii="Bookman Old Style" w:hAnsi="Bookman Old Style" w:cs="Courier New"/>
        </w:rPr>
      </w:pPr>
      <w:r w:rsidRPr="003B78BF">
        <w:rPr>
          <w:rFonts w:ascii="Bookman Old Style" w:hAnsi="Bookman Old Style"/>
        </w:rPr>
        <w:t>José Luis Meza Ramírez</w:t>
      </w:r>
      <w:r w:rsidRPr="003B78BF">
        <w:rPr>
          <w:rStyle w:val="Refdenotaalpie"/>
          <w:rFonts w:ascii="Bookman Old Style" w:hAnsi="Bookman Old Style" w:cs="Courier New"/>
        </w:rPr>
        <w:footnoteReference w:id="4"/>
      </w:r>
    </w:p>
    <w:p w:rsidR="00085B80" w:rsidRDefault="00085B80" w:rsidP="00085B80">
      <w:pPr>
        <w:spacing w:after="120"/>
        <w:jc w:val="both"/>
        <w:rPr>
          <w:rFonts w:ascii="Bookman Old Style" w:hAnsi="Bookman Old Style"/>
          <w:color w:val="000000"/>
          <w:lang w:val="es-EC"/>
        </w:rPr>
      </w:pPr>
      <w:r w:rsidRPr="00350E42">
        <w:rPr>
          <w:rFonts w:ascii="Bookman Old Style" w:hAnsi="Bookman Old Style" w:cs="Courier New"/>
        </w:rPr>
        <w:t xml:space="preserve">DIRECCIÓN PARA CORRESPONDENCIA: </w:t>
      </w:r>
      <w:hyperlink r:id="rId9" w:history="1">
        <w:r w:rsidR="00350E42" w:rsidRPr="00350E42">
          <w:rPr>
            <w:rStyle w:val="Hipervnculo"/>
            <w:rFonts w:ascii="Bookman Old Style" w:hAnsi="Bookman Old Style"/>
            <w:lang w:val="es-EC"/>
          </w:rPr>
          <w:t>moviedo@utm.edu.ec</w:t>
        </w:r>
      </w:hyperlink>
    </w:p>
    <w:tbl>
      <w:tblPr>
        <w:tblW w:w="0" w:type="auto"/>
        <w:tblLook w:val="04A0" w:firstRow="1" w:lastRow="0" w:firstColumn="1" w:lastColumn="0" w:noHBand="0" w:noVBand="1"/>
      </w:tblPr>
      <w:tblGrid>
        <w:gridCol w:w="1816"/>
        <w:gridCol w:w="416"/>
        <w:gridCol w:w="283"/>
        <w:gridCol w:w="416"/>
        <w:gridCol w:w="283"/>
        <w:gridCol w:w="616"/>
        <w:gridCol w:w="222"/>
        <w:gridCol w:w="222"/>
        <w:gridCol w:w="222"/>
        <w:gridCol w:w="222"/>
        <w:gridCol w:w="222"/>
        <w:gridCol w:w="222"/>
        <w:gridCol w:w="222"/>
        <w:gridCol w:w="222"/>
        <w:gridCol w:w="1893"/>
        <w:gridCol w:w="416"/>
        <w:gridCol w:w="283"/>
        <w:gridCol w:w="416"/>
        <w:gridCol w:w="283"/>
        <w:gridCol w:w="616"/>
      </w:tblGrid>
      <w:tr w:rsidR="00085B80" w:rsidRPr="000A187D" w:rsidTr="000640DF">
        <w:tc>
          <w:tcPr>
            <w:tcW w:w="0" w:type="auto"/>
          </w:tcPr>
          <w:p w:rsidR="00085B80" w:rsidRPr="000A187D" w:rsidRDefault="00085B80" w:rsidP="000640DF">
            <w:pPr>
              <w:spacing w:after="120"/>
              <w:jc w:val="both"/>
              <w:rPr>
                <w:sz w:val="20"/>
                <w:szCs w:val="20"/>
              </w:rPr>
            </w:pPr>
            <w:r w:rsidRPr="000A187D">
              <w:rPr>
                <w:sz w:val="20"/>
                <w:szCs w:val="20"/>
              </w:rPr>
              <w:t xml:space="preserve">Fecha de recepción: </w:t>
            </w:r>
          </w:p>
        </w:tc>
        <w:tc>
          <w:tcPr>
            <w:tcW w:w="0" w:type="auto"/>
          </w:tcPr>
          <w:p w:rsidR="00085B80" w:rsidRPr="000A187D" w:rsidRDefault="00350E42" w:rsidP="000640DF">
            <w:pPr>
              <w:spacing w:after="120"/>
              <w:jc w:val="both"/>
              <w:rPr>
                <w:sz w:val="20"/>
                <w:szCs w:val="20"/>
              </w:rPr>
            </w:pPr>
            <w:r>
              <w:rPr>
                <w:sz w:val="20"/>
                <w:szCs w:val="20"/>
              </w:rPr>
              <w:t>23</w:t>
            </w:r>
          </w:p>
        </w:tc>
        <w:tc>
          <w:tcPr>
            <w:tcW w:w="0" w:type="auto"/>
          </w:tcPr>
          <w:p w:rsidR="00085B80" w:rsidRPr="000A187D" w:rsidRDefault="00085B80" w:rsidP="000640DF">
            <w:pPr>
              <w:spacing w:after="120"/>
              <w:jc w:val="both"/>
              <w:rPr>
                <w:sz w:val="20"/>
                <w:szCs w:val="20"/>
              </w:rPr>
            </w:pPr>
            <w:r>
              <w:rPr>
                <w:sz w:val="20"/>
                <w:szCs w:val="20"/>
              </w:rPr>
              <w:t>-</w:t>
            </w:r>
          </w:p>
        </w:tc>
        <w:tc>
          <w:tcPr>
            <w:tcW w:w="0" w:type="auto"/>
          </w:tcPr>
          <w:p w:rsidR="00085B80" w:rsidRPr="000A187D" w:rsidRDefault="00350E42" w:rsidP="000640DF">
            <w:pPr>
              <w:spacing w:after="120"/>
              <w:jc w:val="both"/>
              <w:rPr>
                <w:sz w:val="20"/>
                <w:szCs w:val="20"/>
              </w:rPr>
            </w:pPr>
            <w:r>
              <w:rPr>
                <w:sz w:val="20"/>
                <w:szCs w:val="20"/>
              </w:rPr>
              <w:t>11</w:t>
            </w:r>
          </w:p>
        </w:tc>
        <w:tc>
          <w:tcPr>
            <w:tcW w:w="0" w:type="auto"/>
          </w:tcPr>
          <w:p w:rsidR="00085B80" w:rsidRPr="000A187D" w:rsidRDefault="00085B80" w:rsidP="000640DF">
            <w:pPr>
              <w:spacing w:after="120"/>
              <w:jc w:val="both"/>
              <w:rPr>
                <w:sz w:val="20"/>
                <w:szCs w:val="20"/>
              </w:rPr>
            </w:pPr>
            <w:r>
              <w:rPr>
                <w:sz w:val="20"/>
                <w:szCs w:val="20"/>
              </w:rPr>
              <w:t>-</w:t>
            </w:r>
          </w:p>
        </w:tc>
        <w:tc>
          <w:tcPr>
            <w:tcW w:w="0" w:type="auto"/>
          </w:tcPr>
          <w:p w:rsidR="00085B80" w:rsidRPr="000A187D" w:rsidRDefault="00085B80" w:rsidP="00350E42">
            <w:pPr>
              <w:spacing w:after="120"/>
              <w:jc w:val="both"/>
              <w:rPr>
                <w:sz w:val="20"/>
                <w:szCs w:val="20"/>
              </w:rPr>
            </w:pPr>
            <w:r>
              <w:rPr>
                <w:sz w:val="20"/>
                <w:szCs w:val="20"/>
              </w:rPr>
              <w:t>201</w:t>
            </w:r>
            <w:r w:rsidR="00350E42">
              <w:rPr>
                <w:sz w:val="20"/>
                <w:szCs w:val="20"/>
              </w:rPr>
              <w:t>9</w:t>
            </w: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p>
        </w:tc>
        <w:tc>
          <w:tcPr>
            <w:tcW w:w="0" w:type="auto"/>
          </w:tcPr>
          <w:p w:rsidR="00085B80" w:rsidRPr="000A187D" w:rsidRDefault="00085B80" w:rsidP="000640DF">
            <w:pPr>
              <w:spacing w:after="120"/>
              <w:jc w:val="both"/>
              <w:rPr>
                <w:sz w:val="20"/>
                <w:szCs w:val="20"/>
              </w:rPr>
            </w:pPr>
            <w:r w:rsidRPr="000A187D">
              <w:rPr>
                <w:sz w:val="20"/>
                <w:szCs w:val="20"/>
              </w:rPr>
              <w:t>Fecha de aceptación:</w:t>
            </w:r>
          </w:p>
        </w:tc>
        <w:tc>
          <w:tcPr>
            <w:tcW w:w="0" w:type="auto"/>
          </w:tcPr>
          <w:p w:rsidR="00085B80" w:rsidRPr="000A187D" w:rsidRDefault="00350E42" w:rsidP="000640DF">
            <w:pPr>
              <w:spacing w:after="120"/>
              <w:jc w:val="both"/>
              <w:rPr>
                <w:sz w:val="20"/>
                <w:szCs w:val="20"/>
              </w:rPr>
            </w:pPr>
            <w:r>
              <w:rPr>
                <w:sz w:val="20"/>
                <w:szCs w:val="20"/>
              </w:rPr>
              <w:t>08</w:t>
            </w:r>
          </w:p>
        </w:tc>
        <w:tc>
          <w:tcPr>
            <w:tcW w:w="0" w:type="auto"/>
          </w:tcPr>
          <w:p w:rsidR="00085B80" w:rsidRPr="000A187D" w:rsidRDefault="00085B80" w:rsidP="000640DF">
            <w:pPr>
              <w:spacing w:after="120"/>
              <w:jc w:val="both"/>
              <w:rPr>
                <w:sz w:val="20"/>
                <w:szCs w:val="20"/>
              </w:rPr>
            </w:pPr>
            <w:r>
              <w:rPr>
                <w:sz w:val="20"/>
                <w:szCs w:val="20"/>
              </w:rPr>
              <w:t>-</w:t>
            </w:r>
          </w:p>
        </w:tc>
        <w:tc>
          <w:tcPr>
            <w:tcW w:w="0" w:type="auto"/>
          </w:tcPr>
          <w:p w:rsidR="00085B80" w:rsidRPr="000A187D" w:rsidRDefault="00350E42" w:rsidP="000640DF">
            <w:pPr>
              <w:spacing w:after="120"/>
              <w:jc w:val="both"/>
              <w:rPr>
                <w:sz w:val="20"/>
                <w:szCs w:val="20"/>
              </w:rPr>
            </w:pPr>
            <w:r>
              <w:rPr>
                <w:sz w:val="20"/>
                <w:szCs w:val="20"/>
              </w:rPr>
              <w:t>01</w:t>
            </w:r>
          </w:p>
        </w:tc>
        <w:tc>
          <w:tcPr>
            <w:tcW w:w="0" w:type="auto"/>
          </w:tcPr>
          <w:p w:rsidR="00085B80" w:rsidRPr="000A187D" w:rsidRDefault="00085B80" w:rsidP="000640DF">
            <w:pPr>
              <w:spacing w:after="120"/>
              <w:jc w:val="both"/>
              <w:rPr>
                <w:sz w:val="20"/>
                <w:szCs w:val="20"/>
              </w:rPr>
            </w:pPr>
            <w:r>
              <w:rPr>
                <w:sz w:val="20"/>
                <w:szCs w:val="20"/>
              </w:rPr>
              <w:t>-</w:t>
            </w:r>
          </w:p>
        </w:tc>
        <w:tc>
          <w:tcPr>
            <w:tcW w:w="0" w:type="auto"/>
          </w:tcPr>
          <w:p w:rsidR="00085B80" w:rsidRPr="000A187D" w:rsidRDefault="00085B80" w:rsidP="00350E42">
            <w:pPr>
              <w:spacing w:after="120"/>
              <w:jc w:val="both"/>
              <w:rPr>
                <w:sz w:val="20"/>
                <w:szCs w:val="20"/>
              </w:rPr>
            </w:pPr>
            <w:r>
              <w:rPr>
                <w:sz w:val="20"/>
                <w:szCs w:val="20"/>
              </w:rPr>
              <w:t>20</w:t>
            </w:r>
            <w:r w:rsidR="00350E42">
              <w:rPr>
                <w:sz w:val="20"/>
                <w:szCs w:val="20"/>
              </w:rPr>
              <w:t>20</w:t>
            </w:r>
          </w:p>
        </w:tc>
      </w:tr>
    </w:tbl>
    <w:p w:rsidR="00085B80" w:rsidRPr="00635179" w:rsidRDefault="002E3991" w:rsidP="00085B80">
      <w:pPr>
        <w:spacing w:after="120"/>
        <w:jc w:val="both"/>
        <w:rPr>
          <w:rFonts w:ascii="Bookman Old Style" w:hAnsi="Bookman Old Style" w:cs="Courier New"/>
          <w:sz w:val="22"/>
        </w:rPr>
      </w:pPr>
      <w:r>
        <w:rPr>
          <w:rFonts w:ascii="Bookman Old Style" w:hAnsi="Bookman Old Style" w:cs="Courier New"/>
        </w:rPr>
        <w:t>RESUMEN</w:t>
      </w:r>
    </w:p>
    <w:p w:rsidR="00085B80" w:rsidRPr="002E3991" w:rsidRDefault="00EA0F76" w:rsidP="00085B80">
      <w:pPr>
        <w:spacing w:after="120"/>
        <w:jc w:val="both"/>
        <w:rPr>
          <w:rFonts w:ascii="Bookman Old Style" w:hAnsi="Bookman Old Style" w:cs="Courier New"/>
          <w:sz w:val="22"/>
          <w:szCs w:val="22"/>
        </w:rPr>
      </w:pPr>
      <w:r w:rsidRPr="002E3991">
        <w:rPr>
          <w:rFonts w:ascii="Bookman Old Style" w:hAnsi="Bookman Old Style" w:cs="Courier New"/>
          <w:sz w:val="22"/>
          <w:szCs w:val="22"/>
        </w:rPr>
        <w:t xml:space="preserve">Desde el 2008, en Ecuador, se implanta el concepto del Buen Vivir como una filosofía que guía el quehacer político y social, individual y colectivo, también se define la educación como una de las áreas estratégicas, ya que se la considerar una condición indispensable para que una persona alcance su buen vivir, y la sociedad en su conjunto el desarrollo para la libertad. Por ello, en la Universidad Técnica de Manabí, la Nivelación de Carrera está a cargo del Centro de Promoción y Apoyo al Ingreso; el cual se pretende que los estudiantes desarrollen los conocimientos básicos que les permitan iniciar con éxito en las carreras universitarias que ellos eligieron. El objetivo del estudio fue; relacionar la elección de carrera de los alumnos, con su interés y su preparación previa para rendir el examen ENES. En la nivelación de carrera de la UTM, en el primer período 2018, se matricularon 3.200 alumnos. Para realizar este estudio, se encuestaron a 416 alumnos (de 1035) que recibieron clases de biología durante la nivelación, de las áreas1 (Ciencias e Ingenierías), 2 (Agricultura), 4  (Programas Básicos, Educación, Servicios, Ciencias Sociales y Humanidades) y 6 (Salud), de doce carreras: Ingeniería en Agroindustrias (40 encuestados); Ingeniería en Acuicultura (15 encuestados); Ingeniería Agrícola (31 encuestados) e Ingeniería Agronómica (12 encuestados); Medicina Veterinaria (46 encuestados); Ingeniería en Zootecnia (32 encuestados); Pedagogía de las Ciencias Experimentales, Química y Biología (97 encuestados); Medicina (36 encuestados), Enfermería (34 encuestados); Laboratorio Clínico (11 encuestados), Nutrición y Dietética (32 encuestados) y Optometría (30 encuestados). Como resultado, se obtuvieron relaciones significativas </w:t>
      </w:r>
      <w:r w:rsidRPr="002E3991">
        <w:rPr>
          <w:rFonts w:ascii="Bookman Old Style" w:hAnsi="Bookman Old Style" w:cs="Courier New"/>
          <w:sz w:val="22"/>
          <w:szCs w:val="22"/>
        </w:rPr>
        <w:lastRenderedPageBreak/>
        <w:t>entre la elección de la carrera y la preparación previa (extra aula) para rendir el examen ENES, lo que conlleva a un mejor y mayor interés educativo de los alumnos.</w:t>
      </w:r>
    </w:p>
    <w:p w:rsidR="00085B80" w:rsidRPr="00B24876" w:rsidRDefault="00085B80" w:rsidP="00B24876">
      <w:pPr>
        <w:spacing w:after="240"/>
        <w:jc w:val="both"/>
        <w:rPr>
          <w:rFonts w:ascii="Bookman Old Style" w:hAnsi="Bookman Old Style"/>
        </w:rPr>
      </w:pPr>
      <w:r w:rsidRPr="00B24876">
        <w:rPr>
          <w:rFonts w:ascii="Bookman Old Style" w:hAnsi="Bookman Old Style"/>
        </w:rPr>
        <w:t xml:space="preserve">PALABRAS CLAVE: </w:t>
      </w:r>
      <w:r w:rsidR="00EA0F76" w:rsidRPr="00B24876">
        <w:rPr>
          <w:rFonts w:ascii="Bookman Old Style" w:hAnsi="Bookman Old Style"/>
        </w:rPr>
        <w:t>Examen ENES; Universidad Técnica de Manabí; elección de carrera; Ecuador.</w:t>
      </w:r>
    </w:p>
    <w:p w:rsidR="00B24876" w:rsidRPr="00B24876" w:rsidRDefault="00B24876" w:rsidP="00B24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Bookman Old Style" w:hAnsi="Bookman Old Style" w:cs="Courier New"/>
          <w:b/>
          <w:szCs w:val="20"/>
          <w:lang w:val="es-EC" w:eastAsia="es-EC"/>
        </w:rPr>
      </w:pPr>
      <w:r w:rsidRPr="00B24876">
        <w:rPr>
          <w:rFonts w:ascii="Bookman Old Style" w:hAnsi="Bookman Old Style" w:cs="Courier New"/>
          <w:b/>
          <w:szCs w:val="20"/>
          <w:lang w:val="en" w:eastAsia="es-EC"/>
        </w:rPr>
        <w:t>PREPARATION OF THE STUDENTS FOR THE EXAMINATION TO BE BACHELOR AND THEIR SATISFACTION WITH THE CAREER THAT THEY OBTAINED</w:t>
      </w:r>
    </w:p>
    <w:p w:rsidR="002E3991" w:rsidRPr="002E3991" w:rsidRDefault="00085B80" w:rsidP="00085B80">
      <w:pPr>
        <w:spacing w:after="120"/>
        <w:jc w:val="both"/>
        <w:rPr>
          <w:rFonts w:ascii="Bookman Old Style" w:hAnsi="Bookman Old Style" w:cs="Courier New"/>
        </w:rPr>
      </w:pPr>
      <w:r w:rsidRPr="002E3991">
        <w:rPr>
          <w:rFonts w:ascii="Bookman Old Style" w:hAnsi="Bookman Old Style" w:cs="Courier New"/>
        </w:rPr>
        <w:t xml:space="preserve">ABSTRACT </w:t>
      </w:r>
    </w:p>
    <w:p w:rsidR="002E3991" w:rsidRPr="007B1FB5" w:rsidRDefault="002E3991" w:rsidP="00B24876">
      <w:pPr>
        <w:spacing w:after="120"/>
        <w:jc w:val="both"/>
        <w:rPr>
          <w:rFonts w:ascii="Bookman Old Style" w:hAnsi="Bookman Old Style" w:cs="Courier New"/>
          <w:lang w:val="en-US"/>
        </w:rPr>
      </w:pPr>
      <w:r w:rsidRPr="007B1FB5">
        <w:rPr>
          <w:rFonts w:ascii="Bookman Old Style" w:hAnsi="Bookman Old Style" w:cs="Courier New"/>
          <w:lang w:val="en-US"/>
        </w:rPr>
        <w:t xml:space="preserve">Since 2008, in Ecuador, the concept of Good Living has been implemented as a philosophy that guides the political and social work, individual and collective, education is also defined as one of the strategic </w:t>
      </w:r>
      <w:r w:rsidR="00B24876" w:rsidRPr="007B1FB5">
        <w:rPr>
          <w:rFonts w:ascii="Bookman Old Style" w:hAnsi="Bookman Old Style" w:cs="Courier New"/>
          <w:lang w:val="en-US"/>
        </w:rPr>
        <w:t>areas;</w:t>
      </w:r>
      <w:r w:rsidRPr="007B1FB5">
        <w:rPr>
          <w:rFonts w:ascii="Bookman Old Style" w:hAnsi="Bookman Old Style" w:cs="Courier New"/>
          <w:lang w:val="en-US"/>
        </w:rPr>
        <w:t xml:space="preserve"> since it is considered an indispensable condition for that a person reaches his good life, and the society as a whole the development for freedom. Therefore, at the </w:t>
      </w:r>
      <w:r w:rsidR="007B1FB5">
        <w:rPr>
          <w:rFonts w:ascii="Bookman Old Style" w:hAnsi="Bookman Old Style" w:cs="Courier New"/>
          <w:lang w:val="en-US"/>
        </w:rPr>
        <w:t xml:space="preserve">Universidad Técnica de </w:t>
      </w:r>
      <w:r w:rsidRPr="007B1FB5">
        <w:rPr>
          <w:rFonts w:ascii="Bookman Old Style" w:hAnsi="Bookman Old Style" w:cs="Courier New"/>
          <w:lang w:val="en-US"/>
        </w:rPr>
        <w:t>Manabí, Career Leveling is in charge of the Center for Promotion and Admission Support; which is intended for students to develop the basic knowledge that allows them to start successfully in the university careers they chose. The objective of the study was; relate the students' career choice, with their interest and their previous preparation to take the ENES exam. In the UTM career leveling, in the first period 2018, 3,200 students were enrolled. To carry out this study, 416 students (from 1035) who received biology classes during the leveling were surveyed, from areas1 (Science and Engineering), 2 (Agriculture), 4 (Basic Programs, Education, Services, Social Sciences and Humanities ) and 6 (Health), of twelve careers: Agribusiness Engineering (40 respondents); Aquaculture Engineering (15 respondents); Agricultural Engineering (31 respondents) and Agronomic Engineering (12 respondents); Veterinary Medicine (46 respondents); Animal Engineering (32 respondents); Pedagogy of Experimental Sciences, Chemistry and Biology (97 respondents); Medicine (36 respondents), Nursing (34 respondents); Clinical Laboratory (11 respondents), Nutrition and Dietetics (32 respondents) and Optometry (30 respondents). As a result, significant relationships were obtained between the choice of the career and the previous preparation (extra classroom) to take the ENES exam, which leads to a better and greater educational interest of the students.</w:t>
      </w:r>
    </w:p>
    <w:p w:rsidR="00B47E04" w:rsidRDefault="00085B80" w:rsidP="00B24876">
      <w:pPr>
        <w:pStyle w:val="Ttulo1"/>
        <w:spacing w:before="0" w:beforeAutospacing="0" w:after="240" w:afterAutospacing="0"/>
        <w:jc w:val="both"/>
        <w:rPr>
          <w:rFonts w:ascii="Bookman Old Style" w:hAnsi="Bookman Old Style" w:cs="Courier New"/>
        </w:rPr>
      </w:pPr>
      <w:r w:rsidRPr="00201EC5">
        <w:rPr>
          <w:rFonts w:ascii="Bookman Old Style" w:hAnsi="Bookman Old Style" w:cs="Courier New"/>
          <w:b w:val="0"/>
          <w:sz w:val="24"/>
          <w:szCs w:val="24"/>
        </w:rPr>
        <w:t>KEYWORDS:</w:t>
      </w:r>
      <w:r w:rsidR="002E3991" w:rsidRPr="00201EC5">
        <w:rPr>
          <w:rFonts w:ascii="Bookman Old Style" w:hAnsi="Bookman Old Style" w:cs="Courier New"/>
          <w:b w:val="0"/>
          <w:sz w:val="24"/>
          <w:szCs w:val="24"/>
        </w:rPr>
        <w:t xml:space="preserve"> ENES</w:t>
      </w:r>
      <w:r w:rsidR="002E3991">
        <w:rPr>
          <w:rFonts w:ascii="Bookman Old Style" w:hAnsi="Bookman Old Style" w:cs="Courier New"/>
          <w:b w:val="0"/>
          <w:sz w:val="24"/>
          <w:szCs w:val="24"/>
        </w:rPr>
        <w:t xml:space="preserve"> exam</w:t>
      </w:r>
      <w:r w:rsidR="002E3991" w:rsidRPr="002E3991">
        <w:rPr>
          <w:rFonts w:ascii="Bookman Old Style" w:hAnsi="Bookman Old Style" w:cs="Courier New"/>
          <w:b w:val="0"/>
          <w:sz w:val="24"/>
          <w:szCs w:val="24"/>
        </w:rPr>
        <w:t xml:space="preserve">; Universidad Técnica de Manabí; </w:t>
      </w:r>
      <w:r w:rsidR="00201EC5">
        <w:rPr>
          <w:rFonts w:ascii="Bookman Old Style" w:hAnsi="Bookman Old Style" w:cs="Courier New"/>
          <w:b w:val="0"/>
          <w:sz w:val="24"/>
          <w:szCs w:val="24"/>
        </w:rPr>
        <w:t>career choice</w:t>
      </w:r>
      <w:r w:rsidR="002E3991" w:rsidRPr="002E3991">
        <w:rPr>
          <w:rFonts w:ascii="Bookman Old Style" w:hAnsi="Bookman Old Style" w:cs="Courier New"/>
          <w:b w:val="0"/>
          <w:sz w:val="24"/>
          <w:szCs w:val="24"/>
        </w:rPr>
        <w:t>; Ecuador</w:t>
      </w:r>
      <w:r w:rsidR="00201EC5">
        <w:rPr>
          <w:rFonts w:ascii="Bookman Old Style" w:hAnsi="Bookman Old Style" w:cs="Courier New"/>
          <w:b w:val="0"/>
          <w:sz w:val="24"/>
          <w:szCs w:val="24"/>
        </w:rPr>
        <w:t>.</w:t>
      </w:r>
      <w:r w:rsidR="00B47E04" w:rsidRPr="002800E8">
        <w:rPr>
          <w:rFonts w:ascii="Bookman Old Style" w:hAnsi="Bookman Old Style" w:cs="Courier New"/>
        </w:rPr>
        <w:t xml:space="preserve"> </w:t>
      </w:r>
    </w:p>
    <w:p w:rsidR="00085B80" w:rsidRDefault="00085B80" w:rsidP="00085B80">
      <w:pPr>
        <w:spacing w:after="120"/>
        <w:jc w:val="both"/>
        <w:rPr>
          <w:rFonts w:ascii="Bookman Old Style" w:hAnsi="Bookman Old Style" w:cs="Courier New"/>
        </w:rPr>
      </w:pPr>
      <w:r>
        <w:rPr>
          <w:rFonts w:ascii="Bookman Old Style" w:hAnsi="Bookman Old Style" w:cs="Courier New"/>
        </w:rPr>
        <w:t>INTRODUCCIÓN</w:t>
      </w:r>
    </w:p>
    <w:p w:rsidR="00EA0F76" w:rsidRPr="00EA0F76" w:rsidRDefault="00EA0F76" w:rsidP="00EA0F76">
      <w:pPr>
        <w:spacing w:after="120"/>
        <w:jc w:val="both"/>
        <w:rPr>
          <w:rFonts w:ascii="Bookman Old Style" w:hAnsi="Bookman Old Style" w:cs="Courier New"/>
        </w:rPr>
      </w:pPr>
      <w:r w:rsidRPr="00EA0F76">
        <w:rPr>
          <w:rFonts w:ascii="Bookman Old Style" w:hAnsi="Bookman Old Style" w:cs="Courier New"/>
        </w:rPr>
        <w:t>Desde el 2008, en la Asamblea Nacional de Ecuador, se implanta la Carta Mangna, que establece:</w:t>
      </w:r>
    </w:p>
    <w:p w:rsidR="00EA0F76" w:rsidRPr="00EA0F76" w:rsidRDefault="00EA0F76" w:rsidP="00EA0F76">
      <w:pPr>
        <w:spacing w:after="120"/>
        <w:jc w:val="both"/>
        <w:rPr>
          <w:rFonts w:ascii="Bookman Old Style" w:hAnsi="Bookman Old Style" w:cs="Courier New"/>
        </w:rPr>
      </w:pPr>
      <w:r w:rsidRPr="00EA0F76">
        <w:rPr>
          <w:rFonts w:ascii="Bookman Old Style" w:hAnsi="Bookman Old Style" w:cs="Courier New"/>
        </w:rPr>
        <w:t xml:space="preserve">“La educación es un derecho de las personas a lo largo de su vida y un deber ineludible e inexcusable del Estado. Constituye un área prioritaria de la política </w:t>
      </w:r>
      <w:r w:rsidRPr="00EA0F76">
        <w:rPr>
          <w:rFonts w:ascii="Bookman Old Style" w:hAnsi="Bookman Old Style" w:cs="Courier New"/>
        </w:rPr>
        <w:lastRenderedPageBreak/>
        <w:t>pública y de la inversión estatal, garantía de la igualdad e inclusión social y condición ind</w:t>
      </w:r>
      <w:r w:rsidR="001A6B4C">
        <w:rPr>
          <w:rFonts w:ascii="Bookman Old Style" w:hAnsi="Bookman Old Style" w:cs="Courier New"/>
        </w:rPr>
        <w:t>ispensable para el buen vivir” Asamblea Nacional</w:t>
      </w:r>
      <w:r w:rsidRPr="00EA0F76">
        <w:rPr>
          <w:rFonts w:ascii="Bookman Old Style" w:hAnsi="Bookman Old Style" w:cs="Courier New"/>
        </w:rPr>
        <w:t xml:space="preserve"> </w:t>
      </w:r>
      <w:r w:rsidR="001A6B4C">
        <w:rPr>
          <w:rFonts w:ascii="Bookman Old Style" w:hAnsi="Bookman Old Style" w:cs="Courier New"/>
        </w:rPr>
        <w:t>(</w:t>
      </w:r>
      <w:r w:rsidRPr="00EA0F76">
        <w:rPr>
          <w:rFonts w:ascii="Bookman Old Style" w:hAnsi="Bookman Old Style" w:cs="Courier New"/>
        </w:rPr>
        <w:t>2008, art</w:t>
      </w:r>
      <w:r w:rsidR="001A6B4C">
        <w:rPr>
          <w:rFonts w:ascii="Bookman Old Style" w:hAnsi="Bookman Old Style" w:cs="Courier New"/>
        </w:rPr>
        <w:t>.</w:t>
      </w:r>
      <w:r w:rsidRPr="00EA0F76">
        <w:rPr>
          <w:rFonts w:ascii="Bookman Old Style" w:hAnsi="Bookman Old Style" w:cs="Courier New"/>
        </w:rPr>
        <w:t xml:space="preserve"> 26).</w:t>
      </w:r>
    </w:p>
    <w:p w:rsidR="00EA0F76" w:rsidRPr="00EA0F76" w:rsidRDefault="00EA0F76" w:rsidP="00EA0F76">
      <w:pPr>
        <w:spacing w:after="120"/>
        <w:jc w:val="both"/>
        <w:rPr>
          <w:rFonts w:ascii="Bookman Old Style" w:hAnsi="Bookman Old Style" w:cs="Courier New"/>
        </w:rPr>
      </w:pPr>
      <w:r w:rsidRPr="00EA0F76">
        <w:rPr>
          <w:rFonts w:ascii="Bookman Old Style" w:hAnsi="Bookman Old Style" w:cs="Courier New"/>
        </w:rPr>
        <w:t>En la Carta se establece el concepto del Buen Vivir, como una filosofía que guía el quehacer político y social, individual y colectivo, también se define la educación como una de las áreas estratégicas, ya que se la considerar una condición indispensable para que una persona alcance su buen vivir, y la sociedad en su conjunto el desarrollo para la liber</w:t>
      </w:r>
      <w:r w:rsidR="001A6B4C">
        <w:rPr>
          <w:rFonts w:ascii="Bookman Old Style" w:hAnsi="Bookman Old Style" w:cs="Courier New"/>
        </w:rPr>
        <w:t xml:space="preserve">tad </w:t>
      </w:r>
      <w:r w:rsidRPr="00EA0F76">
        <w:rPr>
          <w:rFonts w:ascii="Bookman Old Style" w:hAnsi="Bookman Old Style" w:cs="Courier New"/>
        </w:rPr>
        <w:t xml:space="preserve">SENPLADES </w:t>
      </w:r>
      <w:r w:rsidR="001A6B4C">
        <w:rPr>
          <w:rFonts w:ascii="Bookman Old Style" w:hAnsi="Bookman Old Style" w:cs="Courier New"/>
        </w:rPr>
        <w:t>(</w:t>
      </w:r>
      <w:r w:rsidRPr="00EA0F76">
        <w:rPr>
          <w:rFonts w:ascii="Bookman Old Style" w:hAnsi="Bookman Old Style" w:cs="Courier New"/>
        </w:rPr>
        <w:t>2014</w:t>
      </w:r>
      <w:r w:rsidR="001A6B4C">
        <w:rPr>
          <w:rFonts w:ascii="Bookman Old Style" w:hAnsi="Bookman Old Style" w:cs="Courier New"/>
        </w:rPr>
        <w:t>)</w:t>
      </w:r>
      <w:r w:rsidRPr="00EA0F76">
        <w:rPr>
          <w:rFonts w:ascii="Bookman Old Style" w:hAnsi="Bookman Old Style" w:cs="Courier New"/>
        </w:rPr>
        <w:t xml:space="preserve">; Oviedo </w:t>
      </w:r>
      <w:r w:rsidR="001A6B4C">
        <w:rPr>
          <w:rFonts w:ascii="Bookman Old Style" w:hAnsi="Bookman Old Style" w:cs="Courier New"/>
        </w:rPr>
        <w:t>M.C. y otros</w:t>
      </w:r>
      <w:r w:rsidRPr="00EA0F76">
        <w:rPr>
          <w:rFonts w:ascii="Bookman Old Style" w:hAnsi="Bookman Old Style" w:cs="Courier New"/>
        </w:rPr>
        <w:t xml:space="preserve"> </w:t>
      </w:r>
      <w:r w:rsidR="001A6B4C">
        <w:rPr>
          <w:rFonts w:ascii="Bookman Old Style" w:hAnsi="Bookman Old Style" w:cs="Courier New"/>
        </w:rPr>
        <w:t>(</w:t>
      </w:r>
      <w:r w:rsidRPr="00EA0F76">
        <w:rPr>
          <w:rFonts w:ascii="Bookman Old Style" w:hAnsi="Bookman Old Style" w:cs="Courier New"/>
        </w:rPr>
        <w:t>2018).</w:t>
      </w:r>
    </w:p>
    <w:p w:rsidR="00EA0F76" w:rsidRPr="00EA0F76" w:rsidRDefault="00EA0F76" w:rsidP="00EA0F76">
      <w:pPr>
        <w:spacing w:after="120"/>
        <w:jc w:val="both"/>
        <w:rPr>
          <w:rFonts w:ascii="Bookman Old Style" w:hAnsi="Bookman Old Style" w:cs="Courier New"/>
        </w:rPr>
      </w:pPr>
      <w:r w:rsidRPr="00EA0F76">
        <w:rPr>
          <w:rFonts w:ascii="Bookman Old Style" w:hAnsi="Bookman Old Style" w:cs="Courier New"/>
        </w:rPr>
        <w:t>Motivo por el cual, se desarrolla el Sistema Nacional de Nivelación y Admisión (SNNA), que entra en vigencia desde marzo de 2011. Este sistema garantiza los principios de igualdad de oportunidades, mérito y capacidad declarados en la Constitución de la República del Ecuador y en la Ley de Educación Superior, para que de esta manera, todos los ciudadanos ecuatorianos puedan tener acceso a la educación superior Maldonado Mera</w:t>
      </w:r>
      <w:r w:rsidR="001A6B4C">
        <w:rPr>
          <w:rFonts w:ascii="Bookman Old Style" w:hAnsi="Bookman Old Style" w:cs="Courier New"/>
        </w:rPr>
        <w:t xml:space="preserve"> B. de R.</w:t>
      </w:r>
      <w:r w:rsidRPr="00EA0F76">
        <w:rPr>
          <w:rFonts w:ascii="Bookman Old Style" w:hAnsi="Bookman Old Style" w:cs="Courier New"/>
        </w:rPr>
        <w:t xml:space="preserve"> </w:t>
      </w:r>
      <w:r w:rsidR="001A6B4C">
        <w:rPr>
          <w:rFonts w:ascii="Bookman Old Style" w:hAnsi="Bookman Old Style" w:cs="Courier New"/>
        </w:rPr>
        <w:t>(</w:t>
      </w:r>
      <w:r w:rsidRPr="00EA0F76">
        <w:rPr>
          <w:rFonts w:ascii="Bookman Old Style" w:hAnsi="Bookman Old Style" w:cs="Courier New"/>
        </w:rPr>
        <w:t>2015</w:t>
      </w:r>
      <w:r w:rsidR="001A6B4C">
        <w:rPr>
          <w:rFonts w:ascii="Bookman Old Style" w:hAnsi="Bookman Old Style" w:cs="Courier New"/>
        </w:rPr>
        <w:t xml:space="preserve"> p.)</w:t>
      </w:r>
      <w:r w:rsidRPr="00EA0F76">
        <w:rPr>
          <w:rFonts w:ascii="Bookman Old Style" w:hAnsi="Bookman Old Style" w:cs="Courier New"/>
        </w:rPr>
        <w:t xml:space="preserve">; Oviedo </w:t>
      </w:r>
      <w:r w:rsidR="001A6B4C">
        <w:rPr>
          <w:rFonts w:ascii="Bookman Old Style" w:hAnsi="Bookman Old Style" w:cs="Courier New"/>
        </w:rPr>
        <w:t>M.C. y otros</w:t>
      </w:r>
      <w:r w:rsidRPr="00EA0F76">
        <w:rPr>
          <w:rFonts w:ascii="Bookman Old Style" w:hAnsi="Bookman Old Style" w:cs="Courier New"/>
        </w:rPr>
        <w:t xml:space="preserve"> </w:t>
      </w:r>
      <w:r w:rsidR="001A6B4C">
        <w:rPr>
          <w:rFonts w:ascii="Bookman Old Style" w:hAnsi="Bookman Old Style" w:cs="Courier New"/>
        </w:rPr>
        <w:t>(</w:t>
      </w:r>
      <w:r w:rsidRPr="00EA0F76">
        <w:rPr>
          <w:rFonts w:ascii="Bookman Old Style" w:hAnsi="Bookman Old Style" w:cs="Courier New"/>
        </w:rPr>
        <w:t>2018).</w:t>
      </w:r>
    </w:p>
    <w:p w:rsidR="00EA0F76" w:rsidRPr="00EA0F76" w:rsidRDefault="00EA0F76" w:rsidP="00EA0F76">
      <w:pPr>
        <w:spacing w:after="120"/>
        <w:jc w:val="both"/>
        <w:rPr>
          <w:rFonts w:ascii="Bookman Old Style" w:hAnsi="Bookman Old Style" w:cs="Courier New"/>
        </w:rPr>
      </w:pPr>
      <w:r w:rsidRPr="00EA0F76">
        <w:rPr>
          <w:rFonts w:ascii="Bookman Old Style" w:hAnsi="Bookman Old Style" w:cs="Courier New"/>
        </w:rPr>
        <w:t>Para poder acceder a la educación superior, se implemente el Examen Nacional para la Educación Superior (ENES), llamado también Ser Bachiller, que es un examen de tipo normativo aptitudinal, que consta de tres partes que evalúan habilidades del aspirante en cuanto a razonamient</w:t>
      </w:r>
      <w:r w:rsidR="001A6B4C">
        <w:rPr>
          <w:rFonts w:ascii="Bookman Old Style" w:hAnsi="Bookman Old Style" w:cs="Courier New"/>
        </w:rPr>
        <w:t xml:space="preserve">o abstracto, verbal y numérico </w:t>
      </w:r>
      <w:r w:rsidRPr="00EA0F76">
        <w:rPr>
          <w:rFonts w:ascii="Bookman Old Style" w:hAnsi="Bookman Old Style" w:cs="Courier New"/>
        </w:rPr>
        <w:t xml:space="preserve">SENESCYT </w:t>
      </w:r>
      <w:r w:rsidR="001A6B4C">
        <w:rPr>
          <w:rFonts w:ascii="Bookman Old Style" w:hAnsi="Bookman Old Style" w:cs="Courier New"/>
        </w:rPr>
        <w:t>(</w:t>
      </w:r>
      <w:r w:rsidRPr="00EA0F76">
        <w:rPr>
          <w:rFonts w:ascii="Bookman Old Style" w:hAnsi="Bookman Old Style" w:cs="Courier New"/>
        </w:rPr>
        <w:t xml:space="preserve">2012). Posteriormente, al examen, y ya con el resultado del mismo, los aspirantes, postulan a cinco carreras, de acuerdo a su elección. La asignación de los cupos por carrera es responsabilidad de la Secretaría Nacional de Educación Superior, Ciencia, Tecnología e Innovación (SENESCYT). Si el aspirante no obtiene cupo en la carrera que fue su primera opción, el sistema informático automatizado del SNNA continuará la asignación de acuerdo al orden de preferencia de carrera elegida por el alumno en el proceso de postulación </w:t>
      </w:r>
      <w:r w:rsidR="001A6B4C">
        <w:rPr>
          <w:rFonts w:ascii="Bookman Old Style" w:hAnsi="Bookman Old Style" w:cs="Courier New"/>
        </w:rPr>
        <w:t>SENESCYT (</w:t>
      </w:r>
      <w:r w:rsidRPr="00EA0F76">
        <w:rPr>
          <w:rFonts w:ascii="Bookman Old Style" w:hAnsi="Bookman Old Style" w:cs="Courier New"/>
        </w:rPr>
        <w:t>2012).</w:t>
      </w:r>
    </w:p>
    <w:p w:rsidR="00EA0F76" w:rsidRPr="00EA0F76" w:rsidRDefault="00EA0F76" w:rsidP="00EA0F76">
      <w:pPr>
        <w:spacing w:after="120"/>
        <w:jc w:val="both"/>
        <w:rPr>
          <w:rFonts w:ascii="Bookman Old Style" w:hAnsi="Bookman Old Style" w:cs="Courier New"/>
        </w:rPr>
      </w:pPr>
      <w:r w:rsidRPr="00EA0F76">
        <w:rPr>
          <w:rFonts w:ascii="Bookman Old Style" w:hAnsi="Bookman Old Style" w:cs="Courier New"/>
        </w:rPr>
        <w:t xml:space="preserve">Cuando el aspirante acepta el cupo asignado, debe realizar un Curso de nivelación de carrera, n la Universidad que postuló, poder fortalecer las capacidades de aprendizaje específicas adecuadas a los contenidos de su área de conocimiento </w:t>
      </w:r>
      <w:r w:rsidR="001A6B4C">
        <w:rPr>
          <w:rFonts w:ascii="Bookman Old Style" w:hAnsi="Bookman Old Style" w:cs="Courier New"/>
        </w:rPr>
        <w:t>SENESCYT</w:t>
      </w:r>
      <w:r w:rsidRPr="00EA0F76">
        <w:rPr>
          <w:rFonts w:ascii="Bookman Old Style" w:hAnsi="Bookman Old Style" w:cs="Courier New"/>
        </w:rPr>
        <w:t xml:space="preserve"> </w:t>
      </w:r>
      <w:r w:rsidR="001A6B4C">
        <w:rPr>
          <w:rFonts w:ascii="Bookman Old Style" w:hAnsi="Bookman Old Style" w:cs="Courier New"/>
        </w:rPr>
        <w:t>(</w:t>
      </w:r>
      <w:r w:rsidRPr="00EA0F76">
        <w:rPr>
          <w:rFonts w:ascii="Bookman Old Style" w:hAnsi="Bookman Old Style" w:cs="Courier New"/>
        </w:rPr>
        <w:t>2012).</w:t>
      </w:r>
    </w:p>
    <w:p w:rsidR="00EA0F76" w:rsidRPr="00EA0F76" w:rsidRDefault="00EA0F76" w:rsidP="00EA0F76">
      <w:pPr>
        <w:spacing w:after="120"/>
        <w:jc w:val="both"/>
        <w:rPr>
          <w:rFonts w:ascii="Bookman Old Style" w:hAnsi="Bookman Old Style" w:cs="Courier New"/>
        </w:rPr>
      </w:pPr>
      <w:r w:rsidRPr="00EA0F76">
        <w:rPr>
          <w:rFonts w:ascii="Bookman Old Style" w:hAnsi="Bookman Old Style" w:cs="Courier New"/>
        </w:rPr>
        <w:t xml:space="preserve">En la Universidad Técnica de Manabí (UTM), de Portoviejo, Manabí, Ecuador, la nivelación de carrera, está a cargo del Centro de Promoción y Apoyo al Ingreso (CPAI) </w:t>
      </w:r>
      <w:r w:rsidR="001A6B4C">
        <w:rPr>
          <w:rFonts w:ascii="Bookman Old Style" w:hAnsi="Bookman Old Style" w:cs="Courier New"/>
        </w:rPr>
        <w:t>CPAI</w:t>
      </w:r>
      <w:r w:rsidRPr="00EA0F76">
        <w:rPr>
          <w:rFonts w:ascii="Bookman Old Style" w:hAnsi="Bookman Old Style" w:cs="Courier New"/>
        </w:rPr>
        <w:t xml:space="preserve"> </w:t>
      </w:r>
      <w:r w:rsidR="001A6B4C">
        <w:rPr>
          <w:rFonts w:ascii="Bookman Old Style" w:hAnsi="Bookman Old Style" w:cs="Courier New"/>
        </w:rPr>
        <w:t>(</w:t>
      </w:r>
      <w:r w:rsidRPr="00EA0F76">
        <w:rPr>
          <w:rFonts w:ascii="Bookman Old Style" w:hAnsi="Bookman Old Style" w:cs="Courier New"/>
        </w:rPr>
        <w:t>2018).</w:t>
      </w:r>
    </w:p>
    <w:p w:rsidR="00EA0F76" w:rsidRPr="00EA0F76" w:rsidRDefault="00EA0F76" w:rsidP="00EA0F76">
      <w:pPr>
        <w:spacing w:after="120"/>
        <w:jc w:val="both"/>
        <w:rPr>
          <w:rFonts w:ascii="Bookman Old Style" w:hAnsi="Bookman Old Style" w:cs="Courier New"/>
        </w:rPr>
      </w:pPr>
      <w:r w:rsidRPr="00EA0F76">
        <w:rPr>
          <w:rFonts w:ascii="Bookman Old Style" w:hAnsi="Bookman Old Style" w:cs="Courier New"/>
        </w:rPr>
        <w:t>La misión del CEPAI es que los estudiantes desarrollen las habilidades, competencias y actitudes básicas que les permitan iniciar con éxito y predisposición en las carreras universita</w:t>
      </w:r>
      <w:r w:rsidR="001A6B4C">
        <w:rPr>
          <w:rFonts w:ascii="Bookman Old Style" w:hAnsi="Bookman Old Style" w:cs="Courier New"/>
        </w:rPr>
        <w:t>rias que fueron de su elección CPAI</w:t>
      </w:r>
      <w:r w:rsidRPr="00EA0F76">
        <w:rPr>
          <w:rFonts w:ascii="Bookman Old Style" w:hAnsi="Bookman Old Style" w:cs="Courier New"/>
        </w:rPr>
        <w:t xml:space="preserve"> </w:t>
      </w:r>
      <w:r w:rsidR="001A6B4C">
        <w:rPr>
          <w:rFonts w:ascii="Bookman Old Style" w:hAnsi="Bookman Old Style" w:cs="Courier New"/>
        </w:rPr>
        <w:t>(</w:t>
      </w:r>
      <w:r w:rsidRPr="00EA0F76">
        <w:rPr>
          <w:rFonts w:ascii="Bookman Old Style" w:hAnsi="Bookman Old Style" w:cs="Courier New"/>
        </w:rPr>
        <w:t>2018).</w:t>
      </w:r>
    </w:p>
    <w:p w:rsidR="00EA0F76" w:rsidRDefault="00EA0F76" w:rsidP="00EA0F76">
      <w:pPr>
        <w:spacing w:after="120"/>
        <w:jc w:val="both"/>
        <w:rPr>
          <w:rFonts w:ascii="Bookman Old Style" w:hAnsi="Bookman Old Style" w:cs="Courier New"/>
        </w:rPr>
      </w:pPr>
      <w:r w:rsidRPr="00EA0F76">
        <w:rPr>
          <w:rFonts w:ascii="Bookman Old Style" w:hAnsi="Bookman Old Style" w:cs="Courier New"/>
        </w:rPr>
        <w:t>El presente trabajo surge como inquietud, debido a la falta de motivación de los estudiantes, observada por los profesores que imparten la materia de biología, con la finalidad de relacionar la elección de carrera de los alumnos, con su interés y su preparación previa para rendir el examen ENES.</w:t>
      </w:r>
    </w:p>
    <w:p w:rsidR="00085B80" w:rsidRDefault="00085B80" w:rsidP="00085B80">
      <w:pPr>
        <w:spacing w:after="120"/>
        <w:jc w:val="both"/>
        <w:rPr>
          <w:rFonts w:ascii="Bookman Old Style" w:hAnsi="Bookman Old Style" w:cs="Courier New"/>
        </w:rPr>
      </w:pPr>
      <w:r>
        <w:rPr>
          <w:rFonts w:ascii="Bookman Old Style" w:hAnsi="Bookman Old Style" w:cs="Courier New"/>
        </w:rPr>
        <w:lastRenderedPageBreak/>
        <w:t>DESARROLLO</w:t>
      </w:r>
    </w:p>
    <w:p w:rsidR="00BE1E69" w:rsidRDefault="00BE1E69" w:rsidP="00085B80">
      <w:pPr>
        <w:spacing w:after="120"/>
        <w:jc w:val="both"/>
        <w:rPr>
          <w:rFonts w:ascii="Bookman Old Style" w:hAnsi="Bookman Old Style" w:cs="Courier New"/>
        </w:rPr>
      </w:pPr>
      <w:r w:rsidRPr="00BE1E69">
        <w:rPr>
          <w:rFonts w:ascii="Bookman Old Style" w:hAnsi="Bookman Old Style" w:cs="Courier New"/>
        </w:rPr>
        <w:t>Para poder acceder a las carreras analizadas en la UTM, los alumnos debían obtener un puntaje mínimo (aproximado) en el examen ENES (o Ser Bachiller), como se indica en la tabla 1.</w:t>
      </w:r>
    </w:p>
    <w:p w:rsidR="00BE1E69" w:rsidRPr="00BE1E69" w:rsidRDefault="00BE1E69" w:rsidP="00BE1E69">
      <w:pPr>
        <w:spacing w:after="120"/>
        <w:jc w:val="both"/>
        <w:rPr>
          <w:rFonts w:ascii="Bookman Old Style" w:hAnsi="Bookman Old Style" w:cs="Courier New"/>
        </w:rPr>
      </w:pPr>
      <w:r w:rsidRPr="00BE1E69">
        <w:rPr>
          <w:rFonts w:ascii="Bookman Old Style" w:hAnsi="Bookman Old Style" w:cs="Courier New"/>
        </w:rPr>
        <w:t xml:space="preserve">Durante la nivelación de carrera de la UTM, en el primer período 2018, se matricularon 3.200 alumnos. Para realizar este estudio, se encuestaron a 416 alumnos (de 1035) que recibieron clases de biología durante la nivelación, de las áreas1 (Ciencias e Ingenierías), 2 (Agricultura), 4 (Programas Básicos, Educación, Servicios, Ciencias Sociales y Humanidades) y 6 (Salud), de doce carreras: Ingeniería en Agroindustrias (40 encuestados); Ingeniería en Acuicultura (15 encuestados); Ingeniería Agrícola (31 encuestados) e Ingeniería Agronómica (12 encuestados); Medicina Veterinaria (46 encuestados); Ingeniería en Zootecnia (32 encuestados); Pedagogía de las Ciencias Experimentales, Química y Biología (97 encuestados); Medicina (36 encuestados), Enfermería (34 encuestados); Laboratorio Clínico (11 encuestados), Nutrición y Dietética (32 encuestados) y Optometría (30 encuestados). </w:t>
      </w:r>
    </w:p>
    <w:p w:rsidR="00BE1E69" w:rsidRDefault="00BE1E69" w:rsidP="00BE1E69">
      <w:pPr>
        <w:spacing w:after="120"/>
        <w:jc w:val="both"/>
        <w:rPr>
          <w:rFonts w:ascii="Bookman Old Style" w:hAnsi="Bookman Old Style" w:cs="Courier New"/>
        </w:rPr>
      </w:pPr>
      <w:r w:rsidRPr="00BE1E69">
        <w:rPr>
          <w:rFonts w:ascii="Bookman Old Style" w:hAnsi="Bookman Old Style" w:cs="Courier New"/>
        </w:rPr>
        <w:t>Para los análisis estadísticos se ha utilizado el programa estadístico SPSS versión 23.</w:t>
      </w:r>
    </w:p>
    <w:p w:rsidR="00BE1E69" w:rsidRPr="00A96CCC" w:rsidRDefault="00BE1E69" w:rsidP="00BE1E69">
      <w:pPr>
        <w:spacing w:after="120"/>
        <w:jc w:val="both"/>
        <w:rPr>
          <w:rFonts w:ascii="Bookman Old Style" w:hAnsi="Bookman Old Style" w:cs="Courier New"/>
          <w:i/>
        </w:rPr>
      </w:pPr>
      <w:r w:rsidRPr="00A96CCC">
        <w:rPr>
          <w:rFonts w:ascii="Bookman Old Style" w:hAnsi="Bookman Old Style" w:cs="Courier New"/>
          <w:i/>
        </w:rPr>
        <w:t>Resultados y discusión</w:t>
      </w:r>
    </w:p>
    <w:p w:rsidR="00BE1E69" w:rsidRPr="00BE1E69" w:rsidRDefault="00BE1E69" w:rsidP="00BE1E69">
      <w:pPr>
        <w:spacing w:after="120"/>
        <w:jc w:val="both"/>
        <w:rPr>
          <w:rFonts w:ascii="Bookman Old Style" w:hAnsi="Bookman Old Style" w:cs="Courier New"/>
        </w:rPr>
      </w:pPr>
      <w:r w:rsidRPr="00BE1E69">
        <w:rPr>
          <w:rFonts w:ascii="Bookman Old Style" w:hAnsi="Bookman Old Style" w:cs="Courier New"/>
        </w:rPr>
        <w:t>Se observó que los estudiantes de medicina, en su totalidad, eligieron esa carrera como primera opción (gráfico 1), al igual que ocurrió en el semestre anterior según Oviedo et. al. (2018); ya que es una de las carreras de alta demanda en los últimos años en Ecuador. Para ingresar a esta carrera los puntajes deben ser altos, a pesar de que no existe nota mínima para postular, solo los mejor puntuados pueden acceder a medicina. Se pueden postular con una nota baja por ejemplo 400 / 1000 pero jamás se le asignará un cupo.</w:t>
      </w:r>
    </w:p>
    <w:p w:rsidR="00B24876" w:rsidRDefault="00B24876" w:rsidP="00B24876">
      <w:pPr>
        <w:spacing w:line="480" w:lineRule="auto"/>
        <w:jc w:val="both"/>
        <w:rPr>
          <w:noProof/>
          <w:lang w:val="es-EC" w:eastAsia="es-EC"/>
        </w:rPr>
      </w:pPr>
      <w:r>
        <w:rPr>
          <w:noProof/>
          <w:lang w:val="es-EC" w:eastAsia="es-EC"/>
        </w:rPr>
        <w:drawing>
          <wp:inline distT="0" distB="0" distL="0" distR="0">
            <wp:extent cx="5635625" cy="2018665"/>
            <wp:effectExtent l="0" t="0" r="22225" b="19685"/>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E1E69" w:rsidRDefault="00BE1E69" w:rsidP="00B24876">
      <w:pPr>
        <w:spacing w:after="120"/>
        <w:jc w:val="both"/>
        <w:rPr>
          <w:sz w:val="20"/>
          <w:szCs w:val="20"/>
        </w:rPr>
      </w:pPr>
      <w:r w:rsidRPr="00793B1E">
        <w:rPr>
          <w:sz w:val="20"/>
          <w:szCs w:val="20"/>
        </w:rPr>
        <w:t>Gráfico 1. Porcentaje de estudiantes que lograron matricularse en la carrera que fue su primera opción en la postulación de carrera.</w:t>
      </w:r>
    </w:p>
    <w:p w:rsidR="00B24876" w:rsidRDefault="00B24876" w:rsidP="00B24876">
      <w:pPr>
        <w:spacing w:after="120"/>
        <w:jc w:val="both"/>
        <w:rPr>
          <w:rFonts w:ascii="Bookman Old Style" w:hAnsi="Bookman Old Style" w:cs="Courier New"/>
        </w:rPr>
      </w:pPr>
      <w:r w:rsidRPr="00BE1E69">
        <w:rPr>
          <w:rFonts w:ascii="Bookman Old Style" w:hAnsi="Bookman Old Style" w:cs="Courier New"/>
        </w:rPr>
        <w:lastRenderedPageBreak/>
        <w:t>Por el contrario, los estudiantes de la carrera de Optometría, en su mayoría no eligieron esa carrera como primera opción de estudio</w:t>
      </w:r>
      <w:r>
        <w:rPr>
          <w:rFonts w:ascii="Bookman Old Style" w:hAnsi="Bookman Old Style" w:cs="Courier New"/>
        </w:rPr>
        <w:t>.</w:t>
      </w:r>
    </w:p>
    <w:p w:rsidR="00BE1E69" w:rsidRPr="00BE1E69" w:rsidRDefault="00BE1E69" w:rsidP="00BE1E69">
      <w:pPr>
        <w:spacing w:after="120"/>
        <w:jc w:val="both"/>
        <w:rPr>
          <w:rFonts w:ascii="Bookman Old Style" w:hAnsi="Bookman Old Style" w:cs="Courier New"/>
        </w:rPr>
      </w:pPr>
      <w:r w:rsidRPr="00BE1E69">
        <w:rPr>
          <w:rFonts w:ascii="Bookman Old Style" w:hAnsi="Bookman Old Style" w:cs="Courier New"/>
        </w:rPr>
        <w:t xml:space="preserve">Prepararse para rendir los exámenes de Ser Bachiller, va a facilitar la obtención de una nota superior, que les ayude a obtener un cupo en la carrera que los aspirantes eligen como primera opción. </w:t>
      </w:r>
    </w:p>
    <w:p w:rsidR="00BE1E69" w:rsidRPr="00BE1E69" w:rsidRDefault="00BE1E69" w:rsidP="00BE1E69">
      <w:pPr>
        <w:spacing w:after="120"/>
        <w:jc w:val="both"/>
        <w:rPr>
          <w:rFonts w:ascii="Bookman Old Style" w:hAnsi="Bookman Old Style" w:cs="Courier New"/>
        </w:rPr>
      </w:pPr>
      <w:r w:rsidRPr="00BE1E69">
        <w:rPr>
          <w:rFonts w:ascii="Bookman Old Style" w:hAnsi="Bookman Old Style" w:cs="Courier New"/>
        </w:rPr>
        <w:t>Para analizar la relación entre los estudiantes que matricularon en la carrera que solicitaban en primera opción y si se prepararon para rendir la prueba ser bachiller; se realizaron los análisis por separado de los alumnos del área de la salud, de las restantes áreas, debido que sus puntajes mínimos generales del área de salud, s</w:t>
      </w:r>
      <w:r w:rsidR="00793B1E">
        <w:rPr>
          <w:rFonts w:ascii="Bookman Old Style" w:hAnsi="Bookman Old Style" w:cs="Courier New"/>
        </w:rPr>
        <w:t>on significativamente mayores (T</w:t>
      </w:r>
      <w:r w:rsidRPr="00BE1E69">
        <w:rPr>
          <w:rFonts w:ascii="Bookman Old Style" w:hAnsi="Bookman Old Style" w:cs="Courier New"/>
        </w:rPr>
        <w:t>abla 1).</w:t>
      </w:r>
    </w:p>
    <w:p w:rsidR="00BE1E69" w:rsidRPr="00793B1E" w:rsidRDefault="00BE1E69" w:rsidP="00BE1E69">
      <w:pPr>
        <w:spacing w:after="120"/>
        <w:jc w:val="both"/>
        <w:rPr>
          <w:sz w:val="20"/>
          <w:szCs w:val="20"/>
        </w:rPr>
      </w:pPr>
      <w:r w:rsidRPr="00793B1E">
        <w:rPr>
          <w:sz w:val="20"/>
          <w:szCs w:val="20"/>
        </w:rPr>
        <w:t>Tabla 1: Carreras analizadas, con los puntajes mínimos generales por carrera y el cupo que ofertó por cada carrera la UTM, en la Nivelación de Carrera, primer período del 2018.</w:t>
      </w:r>
    </w:p>
    <w:tbl>
      <w:tblPr>
        <w:tblW w:w="0" w:type="auto"/>
        <w:jc w:val="center"/>
        <w:tblLook w:val="04A0" w:firstRow="1" w:lastRow="0" w:firstColumn="1" w:lastColumn="0" w:noHBand="0" w:noVBand="1"/>
      </w:tblPr>
      <w:tblGrid>
        <w:gridCol w:w="2953"/>
        <w:gridCol w:w="2036"/>
        <w:gridCol w:w="2709"/>
        <w:gridCol w:w="1924"/>
      </w:tblGrid>
      <w:tr w:rsidR="00793B1E" w:rsidRPr="00793B1E" w:rsidTr="00B24876">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rPr>
                <w:rFonts w:ascii="Bookman Old Style" w:hAnsi="Bookman Old Style"/>
                <w:b/>
                <w:bCs/>
                <w:color w:val="000000"/>
                <w:sz w:val="20"/>
                <w:szCs w:val="20"/>
                <w:lang w:val="es-ES_tradnl"/>
              </w:rPr>
            </w:pPr>
            <w:r w:rsidRPr="00793B1E">
              <w:rPr>
                <w:rFonts w:ascii="Bookman Old Style" w:hAnsi="Bookman Old Style"/>
                <w:b/>
                <w:bCs/>
                <w:color w:val="000000"/>
                <w:sz w:val="20"/>
                <w:szCs w:val="20"/>
                <w:lang w:val="es-ES_tradnl"/>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jc w:val="center"/>
              <w:rPr>
                <w:rFonts w:ascii="Bookman Old Style" w:hAnsi="Bookman Old Style"/>
                <w:b/>
                <w:bCs/>
                <w:color w:val="000000"/>
                <w:sz w:val="20"/>
                <w:szCs w:val="20"/>
                <w:lang w:val="es-ES_tradnl"/>
              </w:rPr>
            </w:pPr>
            <w:r w:rsidRPr="00793B1E">
              <w:rPr>
                <w:rFonts w:ascii="Bookman Old Style" w:hAnsi="Bookman Old Style"/>
                <w:b/>
                <w:bCs/>
                <w:color w:val="000000"/>
                <w:sz w:val="20"/>
                <w:szCs w:val="20"/>
                <w:lang w:val="es-ES_tradnl"/>
              </w:rPr>
              <w:t>Carrera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jc w:val="center"/>
              <w:rPr>
                <w:rFonts w:ascii="Bookman Old Style" w:hAnsi="Bookman Old Style"/>
                <w:b/>
                <w:bCs/>
                <w:color w:val="000000"/>
                <w:sz w:val="20"/>
                <w:szCs w:val="20"/>
                <w:lang w:val="es-ES_tradnl"/>
              </w:rPr>
            </w:pPr>
            <w:r w:rsidRPr="00793B1E">
              <w:rPr>
                <w:rFonts w:ascii="Bookman Old Style" w:hAnsi="Bookman Old Style"/>
                <w:b/>
                <w:bCs/>
                <w:color w:val="000000"/>
                <w:sz w:val="20"/>
                <w:szCs w:val="20"/>
                <w:lang w:val="es-ES_tradnl"/>
              </w:rPr>
              <w:t>Puntaje mínimo general</w:t>
            </w:r>
          </w:p>
        </w:tc>
        <w:tc>
          <w:tcPr>
            <w:tcW w:w="0" w:type="auto"/>
            <w:tcBorders>
              <w:top w:val="single" w:sz="4" w:space="0" w:color="auto"/>
              <w:left w:val="nil"/>
              <w:bottom w:val="single" w:sz="4" w:space="0" w:color="auto"/>
              <w:right w:val="single" w:sz="4" w:space="0" w:color="auto"/>
            </w:tcBorders>
          </w:tcPr>
          <w:p w:rsidR="00793B1E" w:rsidRPr="00793B1E" w:rsidRDefault="00793B1E" w:rsidP="00B24876">
            <w:pPr>
              <w:spacing w:line="480" w:lineRule="auto"/>
              <w:jc w:val="center"/>
              <w:rPr>
                <w:rFonts w:ascii="Bookman Old Style" w:hAnsi="Bookman Old Style"/>
                <w:b/>
                <w:bCs/>
                <w:color w:val="000000"/>
                <w:sz w:val="20"/>
                <w:szCs w:val="20"/>
                <w:lang w:val="es-ES_tradnl"/>
              </w:rPr>
            </w:pPr>
            <w:r w:rsidRPr="00793B1E">
              <w:rPr>
                <w:rFonts w:ascii="Bookman Old Style" w:hAnsi="Bookman Old Style"/>
                <w:b/>
                <w:bCs/>
                <w:color w:val="000000"/>
                <w:sz w:val="20"/>
                <w:szCs w:val="20"/>
                <w:lang w:val="es-ES_tradnl"/>
              </w:rPr>
              <w:t>Cupo ofertado UTM</w:t>
            </w:r>
          </w:p>
        </w:tc>
      </w:tr>
      <w:tr w:rsidR="00793B1E" w:rsidRPr="00793B1E" w:rsidTr="00B24876">
        <w:trPr>
          <w:trHeight w:val="300"/>
          <w:jc w:val="center"/>
        </w:trPr>
        <w:tc>
          <w:tcPr>
            <w:tcW w:w="0" w:type="auto"/>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793B1E" w:rsidRPr="00793B1E" w:rsidRDefault="00793B1E" w:rsidP="00B24876">
            <w:pPr>
              <w:spacing w:line="480" w:lineRule="auto"/>
              <w:jc w:val="center"/>
              <w:rPr>
                <w:rFonts w:ascii="Bookman Old Style" w:hAnsi="Bookman Old Style"/>
                <w:b/>
                <w:bCs/>
                <w:color w:val="000000"/>
                <w:sz w:val="20"/>
                <w:szCs w:val="20"/>
                <w:lang w:val="es-ES_tradnl"/>
              </w:rPr>
            </w:pPr>
            <w:r w:rsidRPr="00793B1E">
              <w:rPr>
                <w:rFonts w:ascii="Bookman Old Style" w:hAnsi="Bookman Old Style"/>
                <w:b/>
                <w:bCs/>
                <w:color w:val="000000"/>
                <w:sz w:val="20"/>
                <w:szCs w:val="20"/>
                <w:lang w:val="es-ES_tradnl"/>
              </w:rPr>
              <w:t>Rama de las Ciencias de la Salud</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Medicina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958</w:t>
            </w:r>
          </w:p>
        </w:tc>
        <w:tc>
          <w:tcPr>
            <w:tcW w:w="0" w:type="auto"/>
            <w:tcBorders>
              <w:top w:val="single" w:sz="4" w:space="0" w:color="auto"/>
              <w:left w:val="nil"/>
              <w:bottom w:val="single" w:sz="4" w:space="0" w:color="auto"/>
              <w:right w:val="single" w:sz="4" w:space="0" w:color="auto"/>
            </w:tcBorders>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80</w:t>
            </w:r>
          </w:p>
        </w:tc>
      </w:tr>
      <w:tr w:rsidR="00793B1E" w:rsidRPr="00793B1E" w:rsidTr="00B24876">
        <w:trPr>
          <w:trHeight w:val="300"/>
          <w:jc w:val="center"/>
        </w:trPr>
        <w:tc>
          <w:tcPr>
            <w:tcW w:w="0" w:type="auto"/>
            <w:vMerge/>
            <w:tcBorders>
              <w:top w:val="nil"/>
              <w:left w:val="single" w:sz="4" w:space="0" w:color="auto"/>
              <w:bottom w:val="single" w:sz="8" w:space="0" w:color="000000"/>
              <w:right w:val="single" w:sz="4" w:space="0" w:color="auto"/>
            </w:tcBorders>
            <w:vAlign w:val="center"/>
            <w:hideMark/>
          </w:tcPr>
          <w:p w:rsidR="00793B1E" w:rsidRPr="00793B1E" w:rsidRDefault="00793B1E" w:rsidP="00B24876">
            <w:pPr>
              <w:spacing w:line="480" w:lineRule="auto"/>
              <w:rPr>
                <w:rFonts w:ascii="Bookman Old Style" w:hAnsi="Bookman Old Style"/>
                <w:b/>
                <w:bCs/>
                <w:color w:val="000000"/>
                <w:sz w:val="20"/>
                <w:szCs w:val="20"/>
                <w:lang w:val="es-ES_tradnl"/>
              </w:rPr>
            </w:pPr>
          </w:p>
        </w:tc>
        <w:tc>
          <w:tcPr>
            <w:tcW w:w="0" w:type="auto"/>
            <w:tcBorders>
              <w:top w:val="nil"/>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Enfermería</w:t>
            </w:r>
          </w:p>
        </w:tc>
        <w:tc>
          <w:tcPr>
            <w:tcW w:w="0" w:type="auto"/>
            <w:tcBorders>
              <w:top w:val="nil"/>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853</w:t>
            </w:r>
          </w:p>
        </w:tc>
        <w:tc>
          <w:tcPr>
            <w:tcW w:w="0" w:type="auto"/>
            <w:tcBorders>
              <w:top w:val="nil"/>
              <w:left w:val="nil"/>
              <w:bottom w:val="single" w:sz="4" w:space="0" w:color="auto"/>
              <w:right w:val="single" w:sz="4" w:space="0" w:color="auto"/>
            </w:tcBorders>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80</w:t>
            </w:r>
          </w:p>
        </w:tc>
      </w:tr>
      <w:tr w:rsidR="00793B1E" w:rsidRPr="00793B1E" w:rsidTr="00B24876">
        <w:trPr>
          <w:trHeight w:val="300"/>
          <w:jc w:val="center"/>
        </w:trPr>
        <w:tc>
          <w:tcPr>
            <w:tcW w:w="0" w:type="auto"/>
            <w:vMerge/>
            <w:tcBorders>
              <w:top w:val="nil"/>
              <w:left w:val="single" w:sz="4" w:space="0" w:color="auto"/>
              <w:bottom w:val="single" w:sz="8" w:space="0" w:color="000000"/>
              <w:right w:val="single" w:sz="4" w:space="0" w:color="auto"/>
            </w:tcBorders>
            <w:vAlign w:val="center"/>
            <w:hideMark/>
          </w:tcPr>
          <w:p w:rsidR="00793B1E" w:rsidRPr="00793B1E" w:rsidRDefault="00793B1E" w:rsidP="00B24876">
            <w:pPr>
              <w:spacing w:line="480" w:lineRule="auto"/>
              <w:rPr>
                <w:rFonts w:ascii="Bookman Old Style" w:hAnsi="Bookman Old Style"/>
                <w:b/>
                <w:bCs/>
                <w:color w:val="000000"/>
                <w:sz w:val="20"/>
                <w:szCs w:val="20"/>
                <w:lang w:val="es-ES_tradnl"/>
              </w:rPr>
            </w:pPr>
          </w:p>
        </w:tc>
        <w:tc>
          <w:tcPr>
            <w:tcW w:w="0" w:type="auto"/>
            <w:tcBorders>
              <w:top w:val="nil"/>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Laboratorio clínico</w:t>
            </w:r>
          </w:p>
        </w:tc>
        <w:tc>
          <w:tcPr>
            <w:tcW w:w="0" w:type="auto"/>
            <w:tcBorders>
              <w:top w:val="nil"/>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847</w:t>
            </w:r>
          </w:p>
        </w:tc>
        <w:tc>
          <w:tcPr>
            <w:tcW w:w="0" w:type="auto"/>
            <w:tcBorders>
              <w:top w:val="nil"/>
              <w:left w:val="nil"/>
              <w:bottom w:val="single" w:sz="4" w:space="0" w:color="auto"/>
              <w:right w:val="single" w:sz="4" w:space="0" w:color="auto"/>
            </w:tcBorders>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80</w:t>
            </w:r>
          </w:p>
        </w:tc>
      </w:tr>
      <w:tr w:rsidR="00793B1E" w:rsidRPr="00793B1E" w:rsidTr="00B24876">
        <w:trPr>
          <w:trHeight w:val="300"/>
          <w:jc w:val="center"/>
        </w:trPr>
        <w:tc>
          <w:tcPr>
            <w:tcW w:w="0" w:type="auto"/>
            <w:vMerge/>
            <w:tcBorders>
              <w:top w:val="nil"/>
              <w:left w:val="single" w:sz="4" w:space="0" w:color="auto"/>
              <w:bottom w:val="single" w:sz="8" w:space="0" w:color="000000"/>
              <w:right w:val="single" w:sz="4" w:space="0" w:color="auto"/>
            </w:tcBorders>
            <w:vAlign w:val="center"/>
            <w:hideMark/>
          </w:tcPr>
          <w:p w:rsidR="00793B1E" w:rsidRPr="00793B1E" w:rsidRDefault="00793B1E" w:rsidP="00B24876">
            <w:pPr>
              <w:spacing w:line="480" w:lineRule="auto"/>
              <w:rPr>
                <w:rFonts w:ascii="Bookman Old Style" w:hAnsi="Bookman Old Style"/>
                <w:b/>
                <w:bCs/>
                <w:color w:val="000000"/>
                <w:sz w:val="20"/>
                <w:szCs w:val="20"/>
                <w:lang w:val="es-ES_tradnl"/>
              </w:rPr>
            </w:pPr>
          </w:p>
        </w:tc>
        <w:tc>
          <w:tcPr>
            <w:tcW w:w="0" w:type="auto"/>
            <w:tcBorders>
              <w:top w:val="nil"/>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Nutrición</w:t>
            </w:r>
          </w:p>
        </w:tc>
        <w:tc>
          <w:tcPr>
            <w:tcW w:w="0" w:type="auto"/>
            <w:tcBorders>
              <w:top w:val="nil"/>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820</w:t>
            </w:r>
          </w:p>
        </w:tc>
        <w:tc>
          <w:tcPr>
            <w:tcW w:w="0" w:type="auto"/>
            <w:tcBorders>
              <w:top w:val="nil"/>
              <w:left w:val="nil"/>
              <w:bottom w:val="single" w:sz="4" w:space="0" w:color="auto"/>
              <w:right w:val="single" w:sz="4" w:space="0" w:color="auto"/>
            </w:tcBorders>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60</w:t>
            </w:r>
          </w:p>
        </w:tc>
      </w:tr>
      <w:tr w:rsidR="00793B1E" w:rsidRPr="00793B1E" w:rsidTr="00B24876">
        <w:trPr>
          <w:trHeight w:val="315"/>
          <w:jc w:val="center"/>
        </w:trPr>
        <w:tc>
          <w:tcPr>
            <w:tcW w:w="0" w:type="auto"/>
            <w:vMerge/>
            <w:tcBorders>
              <w:top w:val="nil"/>
              <w:left w:val="single" w:sz="4" w:space="0" w:color="auto"/>
              <w:bottom w:val="single" w:sz="4" w:space="0" w:color="auto"/>
              <w:right w:val="single" w:sz="4" w:space="0" w:color="auto"/>
            </w:tcBorders>
            <w:vAlign w:val="center"/>
            <w:hideMark/>
          </w:tcPr>
          <w:p w:rsidR="00793B1E" w:rsidRPr="00793B1E" w:rsidRDefault="00793B1E" w:rsidP="00B24876">
            <w:pPr>
              <w:spacing w:line="480" w:lineRule="auto"/>
              <w:rPr>
                <w:rFonts w:ascii="Bookman Old Style" w:hAnsi="Bookman Old Style"/>
                <w:b/>
                <w:bCs/>
                <w:color w:val="000000"/>
                <w:sz w:val="20"/>
                <w:szCs w:val="20"/>
                <w:lang w:val="es-ES_tradnl"/>
              </w:rPr>
            </w:pPr>
          </w:p>
        </w:tc>
        <w:tc>
          <w:tcPr>
            <w:tcW w:w="0" w:type="auto"/>
            <w:tcBorders>
              <w:top w:val="nil"/>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Optometría</w:t>
            </w:r>
          </w:p>
        </w:tc>
        <w:tc>
          <w:tcPr>
            <w:tcW w:w="0" w:type="auto"/>
            <w:tcBorders>
              <w:top w:val="nil"/>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814</w:t>
            </w:r>
          </w:p>
        </w:tc>
        <w:tc>
          <w:tcPr>
            <w:tcW w:w="0" w:type="auto"/>
            <w:tcBorders>
              <w:top w:val="nil"/>
              <w:left w:val="nil"/>
              <w:bottom w:val="single" w:sz="4" w:space="0" w:color="auto"/>
              <w:right w:val="single" w:sz="4" w:space="0" w:color="auto"/>
            </w:tcBorders>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30</w:t>
            </w:r>
          </w:p>
        </w:tc>
      </w:tr>
      <w:tr w:rsidR="00793B1E" w:rsidRPr="00793B1E" w:rsidTr="00B24876">
        <w:trPr>
          <w:trHeight w:val="3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3B1E" w:rsidRPr="00793B1E" w:rsidRDefault="00793B1E" w:rsidP="00B24876">
            <w:pPr>
              <w:spacing w:line="480" w:lineRule="auto"/>
              <w:jc w:val="center"/>
              <w:rPr>
                <w:rFonts w:ascii="Bookman Old Style" w:hAnsi="Bookman Old Style"/>
                <w:b/>
                <w:bCs/>
                <w:color w:val="000000"/>
                <w:sz w:val="20"/>
                <w:szCs w:val="20"/>
                <w:lang w:val="es-ES_tradnl"/>
              </w:rPr>
            </w:pPr>
            <w:r w:rsidRPr="00793B1E">
              <w:rPr>
                <w:rFonts w:ascii="Bookman Old Style" w:hAnsi="Bookman Old Style"/>
                <w:b/>
                <w:bCs/>
                <w:color w:val="000000"/>
                <w:sz w:val="20"/>
                <w:szCs w:val="20"/>
                <w:lang w:val="es-ES_tradnl"/>
              </w:rPr>
              <w:t>Otras Ramas de la Ciencias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Acuicultura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688</w:t>
            </w:r>
          </w:p>
        </w:tc>
        <w:tc>
          <w:tcPr>
            <w:tcW w:w="0" w:type="auto"/>
            <w:tcBorders>
              <w:top w:val="single" w:sz="4" w:space="0" w:color="auto"/>
              <w:left w:val="nil"/>
              <w:bottom w:val="single" w:sz="4" w:space="0" w:color="auto"/>
              <w:right w:val="single" w:sz="4" w:space="0" w:color="auto"/>
            </w:tcBorders>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50</w:t>
            </w:r>
          </w:p>
        </w:tc>
      </w:tr>
      <w:tr w:rsidR="00793B1E" w:rsidRPr="00793B1E" w:rsidTr="00B24876">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793B1E" w:rsidRPr="00793B1E" w:rsidRDefault="00793B1E" w:rsidP="00B24876">
            <w:pPr>
              <w:spacing w:line="480" w:lineRule="auto"/>
              <w:rPr>
                <w:rFonts w:ascii="Bookman Old Style" w:hAnsi="Bookman Old Style"/>
                <w:b/>
                <w:bCs/>
                <w:color w:val="000000"/>
                <w:sz w:val="20"/>
                <w:szCs w:val="20"/>
                <w:lang w:val="es-ES_tradnl"/>
              </w:rPr>
            </w:pPr>
          </w:p>
        </w:tc>
        <w:tc>
          <w:tcPr>
            <w:tcW w:w="0" w:type="auto"/>
            <w:tcBorders>
              <w:top w:val="nil"/>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Veterinaria</w:t>
            </w:r>
          </w:p>
        </w:tc>
        <w:tc>
          <w:tcPr>
            <w:tcW w:w="0" w:type="auto"/>
            <w:tcBorders>
              <w:top w:val="nil"/>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658</w:t>
            </w:r>
          </w:p>
        </w:tc>
        <w:tc>
          <w:tcPr>
            <w:tcW w:w="0" w:type="auto"/>
            <w:tcBorders>
              <w:top w:val="nil"/>
              <w:left w:val="nil"/>
              <w:bottom w:val="single" w:sz="4" w:space="0" w:color="auto"/>
              <w:right w:val="single" w:sz="4" w:space="0" w:color="auto"/>
            </w:tcBorders>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100</w:t>
            </w:r>
          </w:p>
        </w:tc>
      </w:tr>
      <w:tr w:rsidR="00793B1E" w:rsidRPr="00793B1E" w:rsidTr="00B24876">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793B1E" w:rsidRPr="00793B1E" w:rsidRDefault="00793B1E" w:rsidP="00B24876">
            <w:pPr>
              <w:spacing w:line="480" w:lineRule="auto"/>
              <w:rPr>
                <w:rFonts w:ascii="Bookman Old Style" w:hAnsi="Bookman Old Style"/>
                <w:b/>
                <w:bCs/>
                <w:color w:val="000000"/>
                <w:sz w:val="20"/>
                <w:szCs w:val="20"/>
                <w:lang w:val="es-ES_tradnl"/>
              </w:rPr>
            </w:pPr>
          </w:p>
        </w:tc>
        <w:tc>
          <w:tcPr>
            <w:tcW w:w="0" w:type="auto"/>
            <w:tcBorders>
              <w:top w:val="nil"/>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Agronomía</w:t>
            </w:r>
          </w:p>
        </w:tc>
        <w:tc>
          <w:tcPr>
            <w:tcW w:w="0" w:type="auto"/>
            <w:tcBorders>
              <w:top w:val="nil"/>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610</w:t>
            </w:r>
          </w:p>
        </w:tc>
        <w:tc>
          <w:tcPr>
            <w:tcW w:w="0" w:type="auto"/>
            <w:tcBorders>
              <w:top w:val="nil"/>
              <w:left w:val="nil"/>
              <w:bottom w:val="single" w:sz="4" w:space="0" w:color="auto"/>
              <w:right w:val="single" w:sz="4" w:space="0" w:color="auto"/>
            </w:tcBorders>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100</w:t>
            </w:r>
          </w:p>
        </w:tc>
      </w:tr>
      <w:tr w:rsidR="00793B1E" w:rsidRPr="00793B1E" w:rsidTr="00B24876">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793B1E" w:rsidRPr="00793B1E" w:rsidRDefault="00793B1E" w:rsidP="00B24876">
            <w:pPr>
              <w:spacing w:line="480" w:lineRule="auto"/>
              <w:rPr>
                <w:rFonts w:ascii="Bookman Old Style" w:hAnsi="Bookman Old Style"/>
                <w:b/>
                <w:bCs/>
                <w:color w:val="000000"/>
                <w:sz w:val="20"/>
                <w:szCs w:val="20"/>
                <w:lang w:val="es-ES_tradnl"/>
              </w:rPr>
            </w:pPr>
          </w:p>
        </w:tc>
        <w:tc>
          <w:tcPr>
            <w:tcW w:w="0" w:type="auto"/>
            <w:tcBorders>
              <w:top w:val="nil"/>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Agroindustria</w:t>
            </w:r>
          </w:p>
        </w:tc>
        <w:tc>
          <w:tcPr>
            <w:tcW w:w="0" w:type="auto"/>
            <w:tcBorders>
              <w:top w:val="nil"/>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601</w:t>
            </w:r>
          </w:p>
        </w:tc>
        <w:tc>
          <w:tcPr>
            <w:tcW w:w="0" w:type="auto"/>
            <w:tcBorders>
              <w:top w:val="nil"/>
              <w:left w:val="nil"/>
              <w:bottom w:val="single" w:sz="4" w:space="0" w:color="auto"/>
              <w:right w:val="single" w:sz="4" w:space="0" w:color="auto"/>
            </w:tcBorders>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100</w:t>
            </w:r>
          </w:p>
        </w:tc>
      </w:tr>
      <w:tr w:rsidR="00793B1E" w:rsidRPr="00793B1E" w:rsidTr="00B24876">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793B1E" w:rsidRPr="00793B1E" w:rsidRDefault="00793B1E" w:rsidP="00B24876">
            <w:pPr>
              <w:spacing w:line="480" w:lineRule="auto"/>
              <w:rPr>
                <w:rFonts w:ascii="Bookman Old Style" w:hAnsi="Bookman Old Style"/>
                <w:b/>
                <w:bCs/>
                <w:color w:val="000000"/>
                <w:sz w:val="20"/>
                <w:szCs w:val="20"/>
                <w:lang w:val="es-ES_tradnl"/>
              </w:rPr>
            </w:pPr>
          </w:p>
        </w:tc>
        <w:tc>
          <w:tcPr>
            <w:tcW w:w="0" w:type="auto"/>
            <w:tcBorders>
              <w:top w:val="nil"/>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Agrícola</w:t>
            </w:r>
          </w:p>
        </w:tc>
        <w:tc>
          <w:tcPr>
            <w:tcW w:w="0" w:type="auto"/>
            <w:tcBorders>
              <w:top w:val="nil"/>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553</w:t>
            </w:r>
          </w:p>
        </w:tc>
        <w:tc>
          <w:tcPr>
            <w:tcW w:w="0" w:type="auto"/>
            <w:tcBorders>
              <w:top w:val="nil"/>
              <w:left w:val="nil"/>
              <w:bottom w:val="single" w:sz="4" w:space="0" w:color="auto"/>
              <w:right w:val="single" w:sz="4" w:space="0" w:color="auto"/>
            </w:tcBorders>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135</w:t>
            </w:r>
          </w:p>
        </w:tc>
      </w:tr>
      <w:tr w:rsidR="00793B1E" w:rsidRPr="00793B1E" w:rsidTr="00B24876">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793B1E" w:rsidRPr="00793B1E" w:rsidRDefault="00793B1E" w:rsidP="00B24876">
            <w:pPr>
              <w:spacing w:line="480" w:lineRule="auto"/>
              <w:rPr>
                <w:rFonts w:ascii="Bookman Old Style" w:hAnsi="Bookman Old Style"/>
                <w:b/>
                <w:bCs/>
                <w:color w:val="000000"/>
                <w:sz w:val="20"/>
                <w:szCs w:val="20"/>
                <w:lang w:val="es-ES_tradnl"/>
              </w:rPr>
            </w:pPr>
          </w:p>
        </w:tc>
        <w:tc>
          <w:tcPr>
            <w:tcW w:w="0" w:type="auto"/>
            <w:tcBorders>
              <w:top w:val="nil"/>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Q y B</w:t>
            </w:r>
          </w:p>
        </w:tc>
        <w:tc>
          <w:tcPr>
            <w:tcW w:w="0" w:type="auto"/>
            <w:tcBorders>
              <w:top w:val="nil"/>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547</w:t>
            </w:r>
          </w:p>
        </w:tc>
        <w:tc>
          <w:tcPr>
            <w:tcW w:w="0" w:type="auto"/>
            <w:tcBorders>
              <w:top w:val="nil"/>
              <w:left w:val="nil"/>
              <w:bottom w:val="single" w:sz="4" w:space="0" w:color="auto"/>
              <w:right w:val="single" w:sz="4" w:space="0" w:color="auto"/>
            </w:tcBorders>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120</w:t>
            </w:r>
          </w:p>
        </w:tc>
      </w:tr>
      <w:tr w:rsidR="00793B1E" w:rsidRPr="00793B1E" w:rsidTr="00B24876">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793B1E" w:rsidRPr="00793B1E" w:rsidRDefault="00793B1E" w:rsidP="00B24876">
            <w:pPr>
              <w:spacing w:line="480" w:lineRule="auto"/>
              <w:rPr>
                <w:rFonts w:ascii="Bookman Old Style" w:hAnsi="Bookman Old Style"/>
                <w:b/>
                <w:bCs/>
                <w:color w:val="000000"/>
                <w:sz w:val="20"/>
                <w:szCs w:val="20"/>
                <w:lang w:val="es-ES_tradnl"/>
              </w:rPr>
            </w:pPr>
          </w:p>
        </w:tc>
        <w:tc>
          <w:tcPr>
            <w:tcW w:w="0" w:type="auto"/>
            <w:tcBorders>
              <w:top w:val="nil"/>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Zootecnia</w:t>
            </w:r>
          </w:p>
        </w:tc>
        <w:tc>
          <w:tcPr>
            <w:tcW w:w="0" w:type="auto"/>
            <w:tcBorders>
              <w:top w:val="nil"/>
              <w:left w:val="nil"/>
              <w:bottom w:val="single" w:sz="4" w:space="0" w:color="auto"/>
              <w:right w:val="single" w:sz="4" w:space="0" w:color="auto"/>
            </w:tcBorders>
            <w:shd w:val="clear" w:color="auto" w:fill="auto"/>
            <w:noWrap/>
            <w:vAlign w:val="bottom"/>
            <w:hideMark/>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534</w:t>
            </w:r>
          </w:p>
        </w:tc>
        <w:tc>
          <w:tcPr>
            <w:tcW w:w="0" w:type="auto"/>
            <w:tcBorders>
              <w:top w:val="nil"/>
              <w:left w:val="nil"/>
              <w:bottom w:val="single" w:sz="4" w:space="0" w:color="auto"/>
              <w:right w:val="single" w:sz="4" w:space="0" w:color="auto"/>
            </w:tcBorders>
          </w:tcPr>
          <w:p w:rsidR="00793B1E" w:rsidRPr="00793B1E" w:rsidRDefault="00793B1E" w:rsidP="00B24876">
            <w:pPr>
              <w:spacing w:line="480" w:lineRule="auto"/>
              <w:jc w:val="center"/>
              <w:rPr>
                <w:rFonts w:ascii="Bookman Old Style" w:hAnsi="Bookman Old Style"/>
                <w:color w:val="000000"/>
                <w:sz w:val="20"/>
                <w:szCs w:val="20"/>
                <w:lang w:val="es-ES_tradnl"/>
              </w:rPr>
            </w:pPr>
            <w:r w:rsidRPr="00793B1E">
              <w:rPr>
                <w:rFonts w:ascii="Bookman Old Style" w:hAnsi="Bookman Old Style"/>
                <w:color w:val="000000"/>
                <w:sz w:val="20"/>
                <w:szCs w:val="20"/>
                <w:lang w:val="es-ES_tradnl"/>
              </w:rPr>
              <w:t>100</w:t>
            </w:r>
          </w:p>
        </w:tc>
      </w:tr>
    </w:tbl>
    <w:p w:rsidR="00BE1E69" w:rsidRPr="00BE1E69" w:rsidRDefault="00BE1E69" w:rsidP="00BE1E69">
      <w:pPr>
        <w:spacing w:after="120"/>
        <w:jc w:val="both"/>
        <w:rPr>
          <w:rFonts w:ascii="Bookman Old Style" w:hAnsi="Bookman Old Style" w:cs="Courier New"/>
        </w:rPr>
      </w:pPr>
    </w:p>
    <w:p w:rsidR="00BE1E69" w:rsidRPr="00BE1E69" w:rsidRDefault="00793B1E" w:rsidP="00BE1E69">
      <w:pPr>
        <w:spacing w:after="120"/>
        <w:jc w:val="both"/>
        <w:rPr>
          <w:rFonts w:ascii="Bookman Old Style" w:hAnsi="Bookman Old Style" w:cs="Courier New"/>
        </w:rPr>
      </w:pPr>
      <w:r>
        <w:rPr>
          <w:rFonts w:ascii="Bookman Old Style" w:hAnsi="Bookman Old Style" w:cs="Courier New"/>
        </w:rPr>
        <w:t>En la Figura</w:t>
      </w:r>
      <w:r w:rsidR="00BE1E69" w:rsidRPr="00BE1E69">
        <w:rPr>
          <w:rFonts w:ascii="Bookman Old Style" w:hAnsi="Bookman Old Style" w:cs="Courier New"/>
        </w:rPr>
        <w:t xml:space="preserve"> 2 se aprecia, que no existe una relación entre la preparación y la obtención de la carrera solicitada en primera opción, en los estudiantes que matricularon en carreras del área de las Ciencias de la Salud, como promedio 85</w:t>
      </w:r>
      <w:r w:rsidR="00B24876">
        <w:rPr>
          <w:rFonts w:ascii="Bookman Old Style" w:hAnsi="Bookman Old Style" w:cs="Courier New"/>
        </w:rPr>
        <w:t>%</w:t>
      </w:r>
      <w:r w:rsidR="00BE1E69" w:rsidRPr="00BE1E69">
        <w:rPr>
          <w:rFonts w:ascii="Bookman Old Style" w:hAnsi="Bookman Old Style" w:cs="Courier New"/>
        </w:rPr>
        <w:t xml:space="preserve"> de los estudiantes si se preparó para rendir el examen ENES, sólo en la carrera de medicina coincide un alto porcentaje de preparación, con la obtención de la carrera solicitada en primera opción. En el resto de las carreras, no se observa el comportamiento deseado, ya que los estudiantes </w:t>
      </w:r>
      <w:r w:rsidR="00BE1E69" w:rsidRPr="00BE1E69">
        <w:rPr>
          <w:rFonts w:ascii="Bookman Old Style" w:hAnsi="Bookman Old Style" w:cs="Courier New"/>
        </w:rPr>
        <w:lastRenderedPageBreak/>
        <w:t>manifestaron que se prepararon, pero no todos obtuvieron cupo en la carrera deseada, hay que tener en cuenta que la carrera de medicina, por lo general es la que recibe más postulaciones, tiene una alta demanda, pero lamentablemente el cupo ofertado en bajo, por lo tanto, solo ingresaron en esta nivelación los 80 mejores promedios del ENES, y como se observa en la Tabla 1, el menor puntaje en el semestre analizado, fue de 958 puntos.</w:t>
      </w:r>
    </w:p>
    <w:p w:rsidR="00FF2189" w:rsidRPr="00E42EEA" w:rsidRDefault="00B24876" w:rsidP="00FF2189">
      <w:pPr>
        <w:spacing w:line="480" w:lineRule="auto"/>
        <w:jc w:val="center"/>
        <w:rPr>
          <w:lang w:val="es-EC"/>
        </w:rPr>
      </w:pPr>
      <w:r>
        <w:rPr>
          <w:noProof/>
          <w:lang w:val="es-EC" w:eastAsia="es-EC"/>
        </w:rPr>
        <w:drawing>
          <wp:inline distT="0" distB="0" distL="0" distR="0">
            <wp:extent cx="4605020" cy="3177540"/>
            <wp:effectExtent l="0" t="0" r="24130" b="22860"/>
            <wp:docPr id="2"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E1E69" w:rsidRPr="00FF2189" w:rsidRDefault="00FF2189" w:rsidP="00BE1E69">
      <w:pPr>
        <w:spacing w:after="120"/>
        <w:jc w:val="both"/>
        <w:rPr>
          <w:sz w:val="20"/>
          <w:szCs w:val="20"/>
        </w:rPr>
      </w:pPr>
      <w:r>
        <w:rPr>
          <w:sz w:val="20"/>
          <w:szCs w:val="20"/>
        </w:rPr>
        <w:t>Figura</w:t>
      </w:r>
      <w:r w:rsidR="00BE1E69" w:rsidRPr="00FF2189">
        <w:rPr>
          <w:sz w:val="20"/>
          <w:szCs w:val="20"/>
        </w:rPr>
        <w:t xml:space="preserve"> 2. Carreras de Área de Salud. Porcentaje de alumnos que se matricularon en la carreada que eligieron como primera opción (azul) y porcentaje de aspirantes que se prepararon para rendir el examen Ser bachiller (naranja). En rojo la línea del valor promedio de preparación de los estudiantes.</w:t>
      </w:r>
    </w:p>
    <w:p w:rsidR="00BE1E69" w:rsidRPr="00BE1E69" w:rsidRDefault="00BE1E69" w:rsidP="00BE1E69">
      <w:pPr>
        <w:spacing w:after="120"/>
        <w:jc w:val="both"/>
        <w:rPr>
          <w:rFonts w:ascii="Bookman Old Style" w:hAnsi="Bookman Old Style" w:cs="Courier New"/>
        </w:rPr>
      </w:pPr>
      <w:r w:rsidRPr="00BE1E69">
        <w:rPr>
          <w:rFonts w:ascii="Bookman Old Style" w:hAnsi="Bookman Old Style" w:cs="Courier New"/>
        </w:rPr>
        <w:t>Como los puntajes mínimos generales para las carreras de otras áreas son menores, se aprecia que el porcentaje medio de preparación para el examen Ser bachiller es menor 65</w:t>
      </w:r>
      <w:r w:rsidR="00B24876">
        <w:rPr>
          <w:rFonts w:ascii="Bookman Old Style" w:hAnsi="Bookman Old Style" w:cs="Courier New"/>
        </w:rPr>
        <w:t>%</w:t>
      </w:r>
      <w:r w:rsidRPr="00BE1E69">
        <w:rPr>
          <w:rFonts w:ascii="Bookman Old Style" w:hAnsi="Bookman Old Style" w:cs="Courier New"/>
        </w:rPr>
        <w:t xml:space="preserve"> en comparación con los estudiantes de ciencias de la salud 85</w:t>
      </w:r>
      <w:r w:rsidR="00B24876">
        <w:rPr>
          <w:rFonts w:ascii="Bookman Old Style" w:hAnsi="Bookman Old Style" w:cs="Courier New"/>
        </w:rPr>
        <w:t>%</w:t>
      </w:r>
      <w:r w:rsidRPr="00BE1E69">
        <w:rPr>
          <w:rFonts w:ascii="Bookman Old Style" w:hAnsi="Bookman Old Style" w:cs="Courier New"/>
        </w:rPr>
        <w:t xml:space="preserve"> (gráficos 2 y 3). Ésta relación nos indica, que los estudiantes que eligen matricularse en carreras que poseen un puntaje mínimo alto de ENES, tienden a prepararse mejor para la prueba.</w:t>
      </w:r>
    </w:p>
    <w:p w:rsidR="00BE1E69" w:rsidRPr="00BE1E69" w:rsidRDefault="00BE1E69" w:rsidP="00BE1E69">
      <w:pPr>
        <w:spacing w:after="120"/>
        <w:jc w:val="both"/>
        <w:rPr>
          <w:rFonts w:ascii="Bookman Old Style" w:hAnsi="Bookman Old Style" w:cs="Courier New"/>
        </w:rPr>
      </w:pPr>
      <w:r w:rsidRPr="00BE1E69">
        <w:rPr>
          <w:rFonts w:ascii="Bookman Old Style" w:hAnsi="Bookman Old Style" w:cs="Courier New"/>
        </w:rPr>
        <w:t xml:space="preserve">En </w:t>
      </w:r>
      <w:r w:rsidR="00FF2189">
        <w:rPr>
          <w:rFonts w:ascii="Bookman Old Style" w:hAnsi="Bookman Old Style" w:cs="Courier New"/>
        </w:rPr>
        <w:t>la Figura</w:t>
      </w:r>
      <w:r w:rsidRPr="00BE1E69">
        <w:rPr>
          <w:rFonts w:ascii="Bookman Old Style" w:hAnsi="Bookman Old Style" w:cs="Courier New"/>
        </w:rPr>
        <w:t xml:space="preserve"> 3 se aprecia una relación que mientras mayor es el porcentaje de estudiantes que se prepara mayor en la cantidad de estudiantes que matriculan la carrera que era su primera opción, excepto la carrea de Licenciatura en Química y Biología, que tiene un comportamiento diferente. También hay que tener en cuenta que los estudiantes no tienen que ser muy sinceros al contestar la pregunta, si se prepararon para dar la prueba que les permite ingresar a la educación superior.</w:t>
      </w:r>
    </w:p>
    <w:p w:rsidR="00FF2189" w:rsidRPr="00E42EEA" w:rsidRDefault="00B24876" w:rsidP="00FF2189">
      <w:pPr>
        <w:spacing w:line="480" w:lineRule="auto"/>
        <w:jc w:val="center"/>
        <w:rPr>
          <w:lang w:val="es-EC"/>
        </w:rPr>
      </w:pPr>
      <w:r>
        <w:rPr>
          <w:noProof/>
          <w:lang w:val="es-EC" w:eastAsia="es-EC"/>
        </w:rPr>
        <w:lastRenderedPageBreak/>
        <w:drawing>
          <wp:inline distT="0" distB="0" distL="0" distR="0">
            <wp:extent cx="5128895" cy="3369945"/>
            <wp:effectExtent l="0" t="0" r="14605" b="20955"/>
            <wp:docPr id="3"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1E69" w:rsidRPr="00FF2189" w:rsidRDefault="00FF2189" w:rsidP="00BE1E69">
      <w:pPr>
        <w:spacing w:after="120"/>
        <w:jc w:val="both"/>
        <w:rPr>
          <w:sz w:val="20"/>
          <w:szCs w:val="20"/>
        </w:rPr>
      </w:pPr>
      <w:r>
        <w:rPr>
          <w:sz w:val="20"/>
          <w:szCs w:val="20"/>
        </w:rPr>
        <w:t>Figura</w:t>
      </w:r>
      <w:r w:rsidR="00BE1E69" w:rsidRPr="00FF2189">
        <w:rPr>
          <w:sz w:val="20"/>
          <w:szCs w:val="20"/>
        </w:rPr>
        <w:t xml:space="preserve"> 3: Carreras que no son del Área de Salud. Porcentaje de alumnos que se matricularon en la carreada que eligieron como primera opción (azul) y porcentaje de aspirantes que se prepararon para rendir el examen Ser bachiller (naranja). En rojo la línea del valor promedio de preparación de los estudiantes.</w:t>
      </w:r>
    </w:p>
    <w:p w:rsidR="00BE1E69" w:rsidRPr="00BE1E69" w:rsidRDefault="00BE1E69" w:rsidP="00BE1E69">
      <w:pPr>
        <w:spacing w:after="120"/>
        <w:jc w:val="both"/>
        <w:rPr>
          <w:rFonts w:ascii="Bookman Old Style" w:hAnsi="Bookman Old Style" w:cs="Courier New"/>
        </w:rPr>
      </w:pPr>
      <w:r w:rsidRPr="00BE1E69">
        <w:rPr>
          <w:rFonts w:ascii="Bookman Old Style" w:hAnsi="Bookman Old Style" w:cs="Courier New"/>
        </w:rPr>
        <w:t>Con el objetivo de conocer si los estudiantes consideran que en las escuelas reciben la suficiente preparación para enfrentar el examen Ser Bachiller, se relacionó Preparación para el examen ser bachiller y preparación suficiente brindada en las escuelas, por carreras como se muestra en el gráfico 4. Donde se aprecia que cuando el porcentaje de preparación es más del 80</w:t>
      </w:r>
      <w:r w:rsidR="00B24876">
        <w:rPr>
          <w:rFonts w:ascii="Bookman Old Style" w:hAnsi="Bookman Old Style" w:cs="Courier New"/>
        </w:rPr>
        <w:t>%</w:t>
      </w:r>
      <w:r w:rsidRPr="00BE1E69">
        <w:rPr>
          <w:rFonts w:ascii="Bookman Old Style" w:hAnsi="Bookman Old Style" w:cs="Courier New"/>
        </w:rPr>
        <w:t>, el porcentaje de estudiantes que considera que en los colegios recibió la preparación suficiente para la prueba de ingreso a la universidad, es menor de 30</w:t>
      </w:r>
      <w:r w:rsidR="00B24876">
        <w:rPr>
          <w:rFonts w:ascii="Bookman Old Style" w:hAnsi="Bookman Old Style" w:cs="Courier New"/>
        </w:rPr>
        <w:t>%</w:t>
      </w:r>
      <w:r w:rsidRPr="00BE1E69">
        <w:rPr>
          <w:rFonts w:ascii="Bookman Old Style" w:hAnsi="Bookman Old Style" w:cs="Courier New"/>
        </w:rPr>
        <w:t>. Un comportamiento opuesto se observa cuando el porcentaje de preparación de los estudiantes es menos de 80, por lo general los porcentajes de estudiantes que están de acuerdo con la preparación recibida en las escuelas varía de entre 60 y 30</w:t>
      </w:r>
      <w:r w:rsidR="00B24876">
        <w:rPr>
          <w:rFonts w:ascii="Bookman Old Style" w:hAnsi="Bookman Old Style" w:cs="Courier New"/>
        </w:rPr>
        <w:t>%</w:t>
      </w:r>
      <w:r w:rsidRPr="00BE1E69">
        <w:rPr>
          <w:rFonts w:ascii="Bookman Old Style" w:hAnsi="Bookman Old Style" w:cs="Courier New"/>
        </w:rPr>
        <w:t xml:space="preserve">. </w:t>
      </w:r>
    </w:p>
    <w:p w:rsidR="00BE1E69" w:rsidRPr="00BE1E69" w:rsidRDefault="00BE1E69" w:rsidP="00BE1E69">
      <w:pPr>
        <w:spacing w:after="120"/>
        <w:jc w:val="both"/>
        <w:rPr>
          <w:rFonts w:ascii="Bookman Old Style" w:hAnsi="Bookman Old Style" w:cs="Courier New"/>
        </w:rPr>
      </w:pPr>
      <w:r w:rsidRPr="00BE1E69">
        <w:rPr>
          <w:rFonts w:ascii="Bookman Old Style" w:hAnsi="Bookman Old Style" w:cs="Courier New"/>
        </w:rPr>
        <w:t xml:space="preserve">Hay que recalcar, que como se observa en </w:t>
      </w:r>
      <w:r w:rsidR="00FF2189">
        <w:rPr>
          <w:rFonts w:ascii="Bookman Old Style" w:hAnsi="Bookman Old Style" w:cs="Courier New"/>
        </w:rPr>
        <w:t>la Figura</w:t>
      </w:r>
      <w:r w:rsidRPr="00BE1E69">
        <w:rPr>
          <w:rFonts w:ascii="Bookman Old Style" w:hAnsi="Bookman Old Style" w:cs="Courier New"/>
        </w:rPr>
        <w:t xml:space="preserve"> 4, en aquellas carreras, cuyos porcentajes para ingreso mínimos son elevados, los alumnos consideran que la educación impartida en el colegio no es la suficiente, por ello, en general se preparan para dicho examen y de esa manera logran adquirir una mejor nota, logrando así matricular en la carrera que eligen en primer lugar, y se manifiestan satisfechos con su elección, (</w:t>
      </w:r>
      <w:r w:rsidR="00FF2189">
        <w:rPr>
          <w:rFonts w:ascii="Bookman Old Style" w:hAnsi="Bookman Old Style" w:cs="Courier New"/>
        </w:rPr>
        <w:t>Figura</w:t>
      </w:r>
      <w:r w:rsidRPr="00BE1E69">
        <w:rPr>
          <w:rFonts w:ascii="Bookman Old Style" w:hAnsi="Bookman Old Style" w:cs="Courier New"/>
        </w:rPr>
        <w:t xml:space="preserve"> 5). En contraposición, aquellos alumnos que consideran que la educación recibida en los colegios es la adecuada, para poder rendir el examen Ser Bachiller, lamentablemente no logran obtener un puntaje elevado en el examen, y por consiguiente no logran obtener un cupo en la carrera en la cual postularon en primer lugar, y </w:t>
      </w:r>
      <w:r w:rsidRPr="00BE1E69">
        <w:rPr>
          <w:rFonts w:ascii="Bookman Old Style" w:hAnsi="Bookman Old Style" w:cs="Courier New"/>
        </w:rPr>
        <w:lastRenderedPageBreak/>
        <w:t>consecuentemente no se manifiestan conformes con la carrera que les tocó estudiar (gráficos 4 y 5).</w:t>
      </w:r>
    </w:p>
    <w:p w:rsidR="00FF2189" w:rsidRPr="00E42EEA" w:rsidRDefault="00B24876" w:rsidP="00FF2189">
      <w:pPr>
        <w:spacing w:line="480" w:lineRule="auto"/>
        <w:jc w:val="center"/>
        <w:rPr>
          <w:lang w:val="es-EC"/>
        </w:rPr>
      </w:pPr>
      <w:r>
        <w:rPr>
          <w:noProof/>
          <w:lang w:val="es-EC" w:eastAsia="es-EC"/>
        </w:rPr>
        <w:drawing>
          <wp:inline distT="0" distB="0" distL="0" distR="0">
            <wp:extent cx="4940300" cy="3170555"/>
            <wp:effectExtent l="0" t="0" r="12700" b="10795"/>
            <wp:docPr id="4"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E1E69" w:rsidRPr="00FF2189" w:rsidRDefault="00CA733D" w:rsidP="00BE1E69">
      <w:pPr>
        <w:spacing w:after="120"/>
        <w:jc w:val="both"/>
        <w:rPr>
          <w:sz w:val="20"/>
          <w:szCs w:val="20"/>
        </w:rPr>
      </w:pPr>
      <w:r>
        <w:rPr>
          <w:sz w:val="20"/>
          <w:szCs w:val="20"/>
        </w:rPr>
        <w:t>Figura</w:t>
      </w:r>
      <w:r w:rsidR="00BE1E69" w:rsidRPr="00FF2189">
        <w:rPr>
          <w:sz w:val="20"/>
          <w:szCs w:val="20"/>
        </w:rPr>
        <w:t xml:space="preserve"> 4: Preparación para el examen ser bachiller y preparación suficiente brindada en las escuelas, para poder enfrentarse al examen ENES.</w:t>
      </w:r>
    </w:p>
    <w:p w:rsidR="00FF2189" w:rsidRPr="00E42EEA" w:rsidRDefault="00B24876" w:rsidP="00FF2189">
      <w:pPr>
        <w:spacing w:line="480" w:lineRule="auto"/>
        <w:jc w:val="both"/>
        <w:rPr>
          <w:lang w:val="es-EC"/>
        </w:rPr>
      </w:pPr>
      <w:r>
        <w:rPr>
          <w:noProof/>
          <w:lang w:val="es-EC" w:eastAsia="es-EC"/>
        </w:rPr>
        <w:drawing>
          <wp:inline distT="0" distB="0" distL="0" distR="0">
            <wp:extent cx="4976495" cy="3061335"/>
            <wp:effectExtent l="0" t="0" r="14605" b="24765"/>
            <wp:docPr id="5"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E1E69" w:rsidRPr="00CA733D" w:rsidRDefault="00CA733D" w:rsidP="00BE1E69">
      <w:pPr>
        <w:spacing w:after="120"/>
        <w:jc w:val="both"/>
        <w:rPr>
          <w:sz w:val="20"/>
          <w:szCs w:val="20"/>
        </w:rPr>
      </w:pPr>
      <w:r>
        <w:rPr>
          <w:sz w:val="20"/>
          <w:szCs w:val="20"/>
        </w:rPr>
        <w:t>Figura</w:t>
      </w:r>
      <w:r w:rsidR="00BE1E69" w:rsidRPr="00CA733D">
        <w:rPr>
          <w:sz w:val="20"/>
          <w:szCs w:val="20"/>
        </w:rPr>
        <w:t xml:space="preserve"> 5: Preparación para el examen ENES y conformidad con la carrera que cursa.</w:t>
      </w:r>
    </w:p>
    <w:p w:rsidR="00BE1E69" w:rsidRPr="00BE1E69" w:rsidRDefault="00BE1E69" w:rsidP="00BE1E69">
      <w:pPr>
        <w:spacing w:after="120"/>
        <w:jc w:val="both"/>
        <w:rPr>
          <w:rFonts w:ascii="Bookman Old Style" w:hAnsi="Bookman Old Style" w:cs="Courier New"/>
        </w:rPr>
      </w:pPr>
      <w:r w:rsidRPr="00BE1E69">
        <w:rPr>
          <w:rFonts w:ascii="Bookman Old Style" w:hAnsi="Bookman Old Style" w:cs="Courier New"/>
        </w:rPr>
        <w:t xml:space="preserve">Al analizar la satisfacción de los postulantes con el examen Ser Bachiller y la metodología empleada en dicho examen, en líneas generales que se observa que más del 50% de los encuestados están de acuerdo con la metodología del </w:t>
      </w:r>
      <w:r w:rsidRPr="00BE1E69">
        <w:rPr>
          <w:rFonts w:ascii="Bookman Old Style" w:hAnsi="Bookman Old Style" w:cs="Courier New"/>
        </w:rPr>
        <w:lastRenderedPageBreak/>
        <w:t>examen. Y aquellos alumnos que están altamente satisfechos con el examen, van a tener una mayor aceptación con la metodología del mismo (</w:t>
      </w:r>
      <w:r w:rsidR="009B679C">
        <w:rPr>
          <w:rFonts w:ascii="Bookman Old Style" w:hAnsi="Bookman Old Style" w:cs="Courier New"/>
        </w:rPr>
        <w:t>Figura</w:t>
      </w:r>
      <w:r w:rsidRPr="00BE1E69">
        <w:rPr>
          <w:rFonts w:ascii="Bookman Old Style" w:hAnsi="Bookman Old Style" w:cs="Courier New"/>
        </w:rPr>
        <w:t xml:space="preserve"> 6).</w:t>
      </w:r>
    </w:p>
    <w:p w:rsidR="009B679C" w:rsidRPr="00E42EEA" w:rsidRDefault="00B24876" w:rsidP="009B679C">
      <w:pPr>
        <w:spacing w:line="480" w:lineRule="auto"/>
        <w:jc w:val="both"/>
        <w:rPr>
          <w:lang w:val="es-EC"/>
        </w:rPr>
      </w:pPr>
      <w:r>
        <w:rPr>
          <w:noProof/>
          <w:lang w:val="es-EC" w:eastAsia="es-EC"/>
        </w:rPr>
        <w:drawing>
          <wp:inline distT="0" distB="0" distL="0" distR="0">
            <wp:extent cx="5139055" cy="3005455"/>
            <wp:effectExtent l="0" t="0" r="23495" b="23495"/>
            <wp:docPr id="6"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E1E69" w:rsidRDefault="00BE1E69" w:rsidP="00BE1E69">
      <w:pPr>
        <w:spacing w:after="120"/>
        <w:jc w:val="both"/>
        <w:rPr>
          <w:sz w:val="20"/>
          <w:szCs w:val="20"/>
        </w:rPr>
      </w:pPr>
      <w:r w:rsidRPr="009B679C">
        <w:rPr>
          <w:sz w:val="20"/>
          <w:szCs w:val="20"/>
        </w:rPr>
        <w:t>Gráfico 6: Metodología del examen y satisfacción con el examen ENES</w:t>
      </w:r>
      <w:r w:rsidR="009B679C">
        <w:rPr>
          <w:sz w:val="20"/>
          <w:szCs w:val="20"/>
        </w:rPr>
        <w:t>.</w:t>
      </w:r>
    </w:p>
    <w:p w:rsidR="00085B80" w:rsidRDefault="00085B80" w:rsidP="00085B80">
      <w:pPr>
        <w:spacing w:after="120"/>
        <w:jc w:val="both"/>
        <w:rPr>
          <w:rFonts w:ascii="Bookman Old Style" w:hAnsi="Bookman Old Style" w:cs="Courier New"/>
        </w:rPr>
      </w:pPr>
      <w:r>
        <w:rPr>
          <w:rFonts w:ascii="Bookman Old Style" w:hAnsi="Bookman Old Style" w:cs="Courier New"/>
        </w:rPr>
        <w:t>CONCLUSIONES</w:t>
      </w:r>
    </w:p>
    <w:p w:rsidR="00BE1E69" w:rsidRPr="00BE1E69" w:rsidRDefault="00BE1E69" w:rsidP="00BE1E69">
      <w:pPr>
        <w:spacing w:after="120"/>
        <w:jc w:val="both"/>
        <w:rPr>
          <w:rFonts w:ascii="Bookman Old Style" w:hAnsi="Bookman Old Style" w:cs="Courier New"/>
        </w:rPr>
      </w:pPr>
      <w:r w:rsidRPr="00BE1E69">
        <w:rPr>
          <w:rFonts w:ascii="Bookman Old Style" w:hAnsi="Bookman Old Style" w:cs="Courier New"/>
        </w:rPr>
        <w:t>Con estos resultados, podemos concluir que:</w:t>
      </w:r>
    </w:p>
    <w:p w:rsidR="00BE1E69" w:rsidRPr="00BE1E69" w:rsidRDefault="00B24876" w:rsidP="00BE1E69">
      <w:pPr>
        <w:spacing w:after="120"/>
        <w:jc w:val="both"/>
        <w:rPr>
          <w:rFonts w:ascii="Bookman Old Style" w:hAnsi="Bookman Old Style" w:cs="Courier New"/>
        </w:rPr>
      </w:pPr>
      <w:r w:rsidRPr="00BE1E69">
        <w:rPr>
          <w:rFonts w:ascii="Bookman Old Style" w:hAnsi="Bookman Old Style" w:cs="Courier New"/>
        </w:rPr>
        <w:t>Prepararse para rendir los exámenes de ser bachiller, va a facilitar la obtención de una nota su</w:t>
      </w:r>
      <w:r w:rsidR="00BE1E69" w:rsidRPr="00BE1E69">
        <w:rPr>
          <w:rFonts w:ascii="Bookman Old Style" w:hAnsi="Bookman Old Style" w:cs="Courier New"/>
        </w:rPr>
        <w:t xml:space="preserve">perior, que les ayude a obtener un cupo en la carrera que los aspirantes eligen como primera opción. </w:t>
      </w:r>
    </w:p>
    <w:p w:rsidR="00BE1E69" w:rsidRPr="00BE1E69" w:rsidRDefault="00B24876" w:rsidP="00BE1E69">
      <w:pPr>
        <w:spacing w:after="120"/>
        <w:jc w:val="both"/>
        <w:rPr>
          <w:rFonts w:ascii="Bookman Old Style" w:hAnsi="Bookman Old Style" w:cs="Courier New"/>
        </w:rPr>
      </w:pPr>
      <w:r w:rsidRPr="00BE1E69">
        <w:rPr>
          <w:rFonts w:ascii="Bookman Old Style" w:hAnsi="Bookman Old Style" w:cs="Courier New"/>
        </w:rPr>
        <w:t>Obtener un cupo en las carreras deseadas, va a demostrar mayor interés de estudio durante su vida universitaria.</w:t>
      </w:r>
    </w:p>
    <w:p w:rsidR="00BE1E69" w:rsidRDefault="00BE1E69" w:rsidP="00BE1E69">
      <w:pPr>
        <w:spacing w:after="120"/>
        <w:jc w:val="both"/>
        <w:rPr>
          <w:rFonts w:ascii="Bookman Old Style" w:hAnsi="Bookman Old Style" w:cs="Courier New"/>
        </w:rPr>
      </w:pPr>
      <w:r w:rsidRPr="00BE1E69">
        <w:rPr>
          <w:rFonts w:ascii="Bookman Old Style" w:hAnsi="Bookman Old Style" w:cs="Courier New"/>
        </w:rPr>
        <w:t>Por consiguiente, se recomienda, a aquellos aspirantes, que deben rendir el examen Ser Bachiller, y que deseen matricular en carreras del área de las Ciencias de la Salud, que se preparen para poder lograr su objetivo.</w:t>
      </w:r>
      <w:r>
        <w:rPr>
          <w:rFonts w:ascii="Bookman Old Style" w:hAnsi="Bookman Old Style" w:cs="Courier New"/>
        </w:rPr>
        <w:t xml:space="preserve"> </w:t>
      </w:r>
    </w:p>
    <w:p w:rsidR="00BA040C" w:rsidRPr="00C241F1" w:rsidRDefault="00085B80" w:rsidP="00BA040C">
      <w:pPr>
        <w:spacing w:after="120"/>
        <w:jc w:val="both"/>
        <w:rPr>
          <w:rFonts w:ascii="Bookman Old Style" w:hAnsi="Bookman Old Style" w:cs="Courier New"/>
          <w:b/>
          <w:sz w:val="22"/>
        </w:rPr>
      </w:pPr>
      <w:r>
        <w:rPr>
          <w:rFonts w:ascii="Bookman Old Style" w:hAnsi="Bookman Old Style" w:cs="Courier New"/>
          <w:sz w:val="22"/>
        </w:rPr>
        <w:t>REFERENCIAS BIBLIOGRÁ</w:t>
      </w:r>
      <w:r w:rsidRPr="00635179">
        <w:rPr>
          <w:rFonts w:ascii="Bookman Old Style" w:hAnsi="Bookman Old Style" w:cs="Courier New"/>
          <w:sz w:val="22"/>
        </w:rPr>
        <w:t>F</w:t>
      </w:r>
      <w:r>
        <w:rPr>
          <w:rFonts w:ascii="Bookman Old Style" w:hAnsi="Bookman Old Style" w:cs="Courier New"/>
          <w:sz w:val="22"/>
        </w:rPr>
        <w:t>ICAS</w:t>
      </w:r>
    </w:p>
    <w:p w:rsidR="009B679C" w:rsidRPr="009B679C" w:rsidRDefault="009B679C" w:rsidP="00B24876">
      <w:pPr>
        <w:autoSpaceDE w:val="0"/>
        <w:autoSpaceDN w:val="0"/>
        <w:adjustRightInd w:val="0"/>
        <w:spacing w:after="120"/>
        <w:jc w:val="both"/>
        <w:rPr>
          <w:rFonts w:ascii="Bookman Old Style" w:hAnsi="Bookman Old Style" w:cs="Arial Narrow"/>
          <w:sz w:val="22"/>
          <w:szCs w:val="22"/>
          <w:lang w:val="es-PR" w:eastAsia="es-PR"/>
        </w:rPr>
      </w:pPr>
      <w:r w:rsidRPr="009B679C">
        <w:rPr>
          <w:rFonts w:ascii="Bookman Old Style" w:hAnsi="Bookman Old Style" w:cs="Arial Narrow"/>
          <w:sz w:val="22"/>
          <w:szCs w:val="22"/>
          <w:lang w:val="es-PR" w:eastAsia="es-PR"/>
        </w:rPr>
        <w:t>Asamblea Nacional. (2008). Ecuador. Montecristi: Asamblea Constituyente.</w:t>
      </w:r>
    </w:p>
    <w:p w:rsidR="009B679C" w:rsidRPr="009B679C" w:rsidRDefault="009B679C" w:rsidP="00B24876">
      <w:pPr>
        <w:autoSpaceDE w:val="0"/>
        <w:autoSpaceDN w:val="0"/>
        <w:adjustRightInd w:val="0"/>
        <w:spacing w:after="120"/>
        <w:jc w:val="both"/>
        <w:rPr>
          <w:rFonts w:ascii="Bookman Old Style" w:hAnsi="Bookman Old Style" w:cs="Arial Narrow"/>
          <w:sz w:val="22"/>
          <w:szCs w:val="22"/>
          <w:lang w:val="es-PR" w:eastAsia="es-PR"/>
        </w:rPr>
      </w:pPr>
      <w:r w:rsidRPr="009B679C">
        <w:rPr>
          <w:rFonts w:ascii="Bookman Old Style" w:hAnsi="Bookman Old Style" w:cs="Arial Narrow"/>
          <w:sz w:val="22"/>
          <w:szCs w:val="22"/>
          <w:lang w:val="es-PR" w:eastAsia="es-PR"/>
        </w:rPr>
        <w:t xml:space="preserve">Centro de Promoción y Apoyo al Ingreso. </w:t>
      </w:r>
      <w:r w:rsidR="007D1495">
        <w:rPr>
          <w:rFonts w:ascii="Bookman Old Style" w:hAnsi="Bookman Old Style" w:cs="Arial Narrow"/>
          <w:sz w:val="22"/>
          <w:szCs w:val="22"/>
          <w:lang w:val="es-PR" w:eastAsia="es-PR"/>
        </w:rPr>
        <w:t>(</w:t>
      </w:r>
      <w:r w:rsidRPr="009B679C">
        <w:rPr>
          <w:rFonts w:ascii="Bookman Old Style" w:hAnsi="Bookman Old Style" w:cs="Arial Narrow"/>
          <w:sz w:val="22"/>
          <w:szCs w:val="22"/>
          <w:lang w:val="es-PR" w:eastAsia="es-PR"/>
        </w:rPr>
        <w:t>2018</w:t>
      </w:r>
      <w:r w:rsidR="007D1495">
        <w:rPr>
          <w:rFonts w:ascii="Bookman Old Style" w:hAnsi="Bookman Old Style" w:cs="Arial Narrow"/>
          <w:sz w:val="22"/>
          <w:szCs w:val="22"/>
          <w:lang w:val="es-PR" w:eastAsia="es-PR"/>
        </w:rPr>
        <w:t>)</w:t>
      </w:r>
      <w:r w:rsidRPr="009B679C">
        <w:rPr>
          <w:rFonts w:ascii="Bookman Old Style" w:hAnsi="Bookman Old Style" w:cs="Arial Narrow"/>
          <w:sz w:val="22"/>
          <w:szCs w:val="22"/>
          <w:lang w:val="es-PR" w:eastAsia="es-PR"/>
        </w:rPr>
        <w:t>.</w:t>
      </w:r>
      <w:r w:rsidR="00A96CCC">
        <w:rPr>
          <w:rFonts w:ascii="Bookman Old Style" w:hAnsi="Bookman Old Style" w:cs="Arial Narrow"/>
          <w:sz w:val="22"/>
          <w:szCs w:val="22"/>
          <w:lang w:val="es-PR" w:eastAsia="es-PR"/>
        </w:rPr>
        <w:t xml:space="preserve"> Universidad Técnica de Manabí, Manabí, Ecuador. Disponible en:</w:t>
      </w:r>
      <w:r w:rsidRPr="009B679C">
        <w:rPr>
          <w:rFonts w:ascii="Bookman Old Style" w:hAnsi="Bookman Old Style" w:cs="Arial Narrow"/>
          <w:sz w:val="22"/>
          <w:szCs w:val="22"/>
          <w:lang w:val="es-PR" w:eastAsia="es-PR"/>
        </w:rPr>
        <w:t xml:space="preserve"> http://utm.</w:t>
      </w:r>
      <w:r w:rsidR="00A96CCC">
        <w:rPr>
          <w:rFonts w:ascii="Bookman Old Style" w:hAnsi="Bookman Old Style" w:cs="Arial Narrow"/>
          <w:sz w:val="22"/>
          <w:szCs w:val="22"/>
          <w:lang w:val="es-PR" w:eastAsia="es-PR"/>
        </w:rPr>
        <w:t>edu.ec/cpai/ [Consultado en diciembre</w:t>
      </w:r>
      <w:r w:rsidRPr="009B679C">
        <w:rPr>
          <w:rFonts w:ascii="Bookman Old Style" w:hAnsi="Bookman Old Style" w:cs="Arial Narrow"/>
          <w:sz w:val="22"/>
          <w:szCs w:val="22"/>
          <w:lang w:val="es-PR" w:eastAsia="es-PR"/>
        </w:rPr>
        <w:t xml:space="preserve"> del 201</w:t>
      </w:r>
      <w:r w:rsidR="00A96CCC">
        <w:rPr>
          <w:rFonts w:ascii="Bookman Old Style" w:hAnsi="Bookman Old Style" w:cs="Arial Narrow"/>
          <w:sz w:val="22"/>
          <w:szCs w:val="22"/>
          <w:lang w:val="es-PR" w:eastAsia="es-PR"/>
        </w:rPr>
        <w:t>9]</w:t>
      </w:r>
      <w:r w:rsidRPr="009B679C">
        <w:rPr>
          <w:rFonts w:ascii="Bookman Old Style" w:hAnsi="Bookman Old Style" w:cs="Arial Narrow"/>
          <w:sz w:val="22"/>
          <w:szCs w:val="22"/>
          <w:lang w:val="es-PR" w:eastAsia="es-PR"/>
        </w:rPr>
        <w:t>.</w:t>
      </w:r>
    </w:p>
    <w:p w:rsidR="009B679C" w:rsidRPr="009B679C" w:rsidRDefault="009B679C" w:rsidP="00B24876">
      <w:pPr>
        <w:autoSpaceDE w:val="0"/>
        <w:autoSpaceDN w:val="0"/>
        <w:adjustRightInd w:val="0"/>
        <w:spacing w:after="120"/>
        <w:jc w:val="both"/>
        <w:rPr>
          <w:rFonts w:ascii="Bookman Old Style" w:hAnsi="Bookman Old Style" w:cs="Arial Narrow"/>
          <w:sz w:val="22"/>
          <w:szCs w:val="22"/>
          <w:lang w:val="es-PR" w:eastAsia="es-PR"/>
        </w:rPr>
      </w:pPr>
      <w:r w:rsidRPr="009B679C">
        <w:rPr>
          <w:rFonts w:ascii="Bookman Old Style" w:hAnsi="Bookman Old Style" w:cs="Arial Narrow"/>
          <w:sz w:val="22"/>
          <w:szCs w:val="22"/>
          <w:lang w:val="es-PR" w:eastAsia="es-PR"/>
        </w:rPr>
        <w:t xml:space="preserve">Maldonado Mera B. de R. </w:t>
      </w:r>
      <w:r w:rsidR="00A96CCC">
        <w:rPr>
          <w:rFonts w:ascii="Bookman Old Style" w:hAnsi="Bookman Old Style" w:cs="Arial Narrow"/>
          <w:sz w:val="22"/>
          <w:szCs w:val="22"/>
          <w:lang w:val="es-PR" w:eastAsia="es-PR"/>
        </w:rPr>
        <w:t>(</w:t>
      </w:r>
      <w:r w:rsidRPr="009B679C">
        <w:rPr>
          <w:rFonts w:ascii="Bookman Old Style" w:hAnsi="Bookman Old Style" w:cs="Arial Narrow"/>
          <w:sz w:val="22"/>
          <w:szCs w:val="22"/>
          <w:lang w:val="es-PR" w:eastAsia="es-PR"/>
        </w:rPr>
        <w:t>2015</w:t>
      </w:r>
      <w:r w:rsidR="00A96CCC">
        <w:rPr>
          <w:rFonts w:ascii="Bookman Old Style" w:hAnsi="Bookman Old Style" w:cs="Arial Narrow"/>
          <w:sz w:val="22"/>
          <w:szCs w:val="22"/>
          <w:lang w:val="es-PR" w:eastAsia="es-PR"/>
        </w:rPr>
        <w:t>)</w:t>
      </w:r>
      <w:r w:rsidRPr="009B679C">
        <w:rPr>
          <w:rFonts w:ascii="Bookman Old Style" w:hAnsi="Bookman Old Style" w:cs="Arial Narrow"/>
          <w:sz w:val="22"/>
          <w:szCs w:val="22"/>
          <w:lang w:val="es-PR" w:eastAsia="es-PR"/>
        </w:rPr>
        <w:t>. El sistema nacional de admisión y nivelación del Ecuador desde la perspectiva de la universidad de las fuerzas armadas – ESPE. Revista San Gregorio, 10 (2) 43-60, julio-diciembre, ISSN 1390-7247.</w:t>
      </w:r>
    </w:p>
    <w:p w:rsidR="009B679C" w:rsidRPr="009B679C" w:rsidRDefault="009B679C" w:rsidP="00B24876">
      <w:pPr>
        <w:autoSpaceDE w:val="0"/>
        <w:autoSpaceDN w:val="0"/>
        <w:adjustRightInd w:val="0"/>
        <w:spacing w:after="120"/>
        <w:jc w:val="both"/>
        <w:rPr>
          <w:rFonts w:ascii="Bookman Old Style" w:hAnsi="Bookman Old Style" w:cs="Arial Narrow"/>
          <w:sz w:val="22"/>
          <w:szCs w:val="22"/>
          <w:lang w:val="es-PR" w:eastAsia="es-PR"/>
        </w:rPr>
      </w:pPr>
      <w:r w:rsidRPr="009B679C">
        <w:rPr>
          <w:rFonts w:ascii="Bookman Old Style" w:hAnsi="Bookman Old Style" w:cs="Arial Narrow"/>
          <w:sz w:val="22"/>
          <w:szCs w:val="22"/>
          <w:lang w:val="es-PR" w:eastAsia="es-PR"/>
        </w:rPr>
        <w:t xml:space="preserve">Oviedo M.C., Meza Ramírez J.L. y Sosa Fernández-Aballí L. </w:t>
      </w:r>
      <w:r w:rsidR="007D1495">
        <w:rPr>
          <w:rFonts w:ascii="Bookman Old Style" w:hAnsi="Bookman Old Style" w:cs="Arial Narrow"/>
          <w:sz w:val="22"/>
          <w:szCs w:val="22"/>
          <w:lang w:val="es-PR" w:eastAsia="es-PR"/>
        </w:rPr>
        <w:t>(</w:t>
      </w:r>
      <w:r w:rsidRPr="009B679C">
        <w:rPr>
          <w:rFonts w:ascii="Bookman Old Style" w:hAnsi="Bookman Old Style" w:cs="Arial Narrow"/>
          <w:sz w:val="22"/>
          <w:szCs w:val="22"/>
          <w:lang w:val="es-PR" w:eastAsia="es-PR"/>
        </w:rPr>
        <w:t>2018</w:t>
      </w:r>
      <w:r w:rsidR="007D1495">
        <w:rPr>
          <w:rFonts w:ascii="Bookman Old Style" w:hAnsi="Bookman Old Style" w:cs="Arial Narrow"/>
          <w:sz w:val="22"/>
          <w:szCs w:val="22"/>
          <w:lang w:val="es-PR" w:eastAsia="es-PR"/>
        </w:rPr>
        <w:t>)</w:t>
      </w:r>
      <w:r w:rsidRPr="009B679C">
        <w:rPr>
          <w:rFonts w:ascii="Bookman Old Style" w:hAnsi="Bookman Old Style" w:cs="Arial Narrow"/>
          <w:sz w:val="22"/>
          <w:szCs w:val="22"/>
          <w:lang w:val="es-PR" w:eastAsia="es-PR"/>
        </w:rPr>
        <w:t xml:space="preserve">. Influencia de la elección de la carrera universitaria, en el interés educativo. Memorias del XII Simposio Internacional Educación y Cultura. ISBN: 978-959-16-3829-8. </w:t>
      </w:r>
    </w:p>
    <w:p w:rsidR="009B679C" w:rsidRPr="009B679C" w:rsidRDefault="009B679C" w:rsidP="00B24876">
      <w:pPr>
        <w:autoSpaceDE w:val="0"/>
        <w:autoSpaceDN w:val="0"/>
        <w:adjustRightInd w:val="0"/>
        <w:spacing w:after="120"/>
        <w:jc w:val="both"/>
        <w:rPr>
          <w:rFonts w:ascii="Bookman Old Style" w:hAnsi="Bookman Old Style" w:cs="Arial Narrow"/>
          <w:sz w:val="22"/>
          <w:szCs w:val="22"/>
          <w:lang w:val="es-PR" w:eastAsia="es-PR"/>
        </w:rPr>
      </w:pPr>
      <w:r w:rsidRPr="009B679C">
        <w:rPr>
          <w:rFonts w:ascii="Bookman Old Style" w:hAnsi="Bookman Old Style" w:cs="Arial Narrow"/>
          <w:sz w:val="22"/>
          <w:szCs w:val="22"/>
          <w:lang w:val="es-PR" w:eastAsia="es-PR"/>
        </w:rPr>
        <w:lastRenderedPageBreak/>
        <w:t>Secretaria Nacional de educación Superior, Ciencia Tecnología e Innovación</w:t>
      </w:r>
      <w:r w:rsidR="00213514">
        <w:rPr>
          <w:rFonts w:ascii="Bookman Old Style" w:hAnsi="Bookman Old Style" w:cs="Arial Narrow"/>
          <w:sz w:val="22"/>
          <w:szCs w:val="22"/>
          <w:lang w:val="es-PR" w:eastAsia="es-PR"/>
        </w:rPr>
        <w:t xml:space="preserve"> (SENESCYT)</w:t>
      </w:r>
      <w:r w:rsidRPr="009B679C">
        <w:rPr>
          <w:rFonts w:ascii="Bookman Old Style" w:hAnsi="Bookman Old Style" w:cs="Arial Narrow"/>
          <w:sz w:val="22"/>
          <w:szCs w:val="22"/>
          <w:lang w:val="es-PR" w:eastAsia="es-PR"/>
        </w:rPr>
        <w:t xml:space="preserve">. </w:t>
      </w:r>
      <w:r w:rsidR="007D1495">
        <w:rPr>
          <w:rFonts w:ascii="Bookman Old Style" w:hAnsi="Bookman Old Style" w:cs="Arial Narrow"/>
          <w:sz w:val="22"/>
          <w:szCs w:val="22"/>
          <w:lang w:val="es-PR" w:eastAsia="es-PR"/>
        </w:rPr>
        <w:t>(</w:t>
      </w:r>
      <w:r w:rsidRPr="009B679C">
        <w:rPr>
          <w:rFonts w:ascii="Bookman Old Style" w:hAnsi="Bookman Old Style" w:cs="Arial Narrow"/>
          <w:sz w:val="22"/>
          <w:szCs w:val="22"/>
          <w:lang w:val="es-PR" w:eastAsia="es-PR"/>
        </w:rPr>
        <w:t>2012</w:t>
      </w:r>
      <w:r w:rsidR="007D1495">
        <w:rPr>
          <w:rFonts w:ascii="Bookman Old Style" w:hAnsi="Bookman Old Style" w:cs="Arial Narrow"/>
          <w:sz w:val="22"/>
          <w:szCs w:val="22"/>
          <w:lang w:val="es-PR" w:eastAsia="es-PR"/>
        </w:rPr>
        <w:t>)</w:t>
      </w:r>
      <w:r w:rsidRPr="009B679C">
        <w:rPr>
          <w:rFonts w:ascii="Bookman Old Style" w:hAnsi="Bookman Old Style" w:cs="Arial Narrow"/>
          <w:sz w:val="22"/>
          <w:szCs w:val="22"/>
          <w:lang w:val="es-PR" w:eastAsia="es-PR"/>
        </w:rPr>
        <w:t>. Reglamento del Sistema Nacional de Nivelación y Admisión - SNNA. Acuerdo Nro. 2012-076. 21 pp.</w:t>
      </w:r>
    </w:p>
    <w:p w:rsidR="00EF7DD7" w:rsidRDefault="009B679C" w:rsidP="00B24876">
      <w:pPr>
        <w:autoSpaceDE w:val="0"/>
        <w:autoSpaceDN w:val="0"/>
        <w:adjustRightInd w:val="0"/>
        <w:spacing w:after="120"/>
        <w:jc w:val="both"/>
        <w:rPr>
          <w:rFonts w:ascii="Bookman Old Style" w:hAnsi="Bookman Old Style" w:cs="Arial Narrow"/>
          <w:sz w:val="22"/>
          <w:szCs w:val="22"/>
          <w:lang w:val="es-PR" w:eastAsia="es-PR"/>
        </w:rPr>
      </w:pPr>
      <w:r w:rsidRPr="009B679C">
        <w:rPr>
          <w:rFonts w:ascii="Bookman Old Style" w:hAnsi="Bookman Old Style" w:cs="Arial Narrow"/>
          <w:sz w:val="22"/>
          <w:szCs w:val="22"/>
          <w:lang w:val="es-PR" w:eastAsia="es-PR"/>
        </w:rPr>
        <w:t xml:space="preserve">SENPLADES. </w:t>
      </w:r>
      <w:r w:rsidR="00EF7DD7">
        <w:rPr>
          <w:rFonts w:ascii="Bookman Old Style" w:hAnsi="Bookman Old Style" w:cs="Arial Narrow"/>
          <w:sz w:val="22"/>
          <w:szCs w:val="22"/>
          <w:lang w:val="es-PR" w:eastAsia="es-PR"/>
        </w:rPr>
        <w:t>(</w:t>
      </w:r>
      <w:r w:rsidRPr="009B679C">
        <w:rPr>
          <w:rFonts w:ascii="Bookman Old Style" w:hAnsi="Bookman Old Style" w:cs="Arial Narrow"/>
          <w:sz w:val="22"/>
          <w:szCs w:val="22"/>
          <w:lang w:val="es-PR" w:eastAsia="es-PR"/>
        </w:rPr>
        <w:t>2014</w:t>
      </w:r>
      <w:r w:rsidR="00EF7DD7">
        <w:rPr>
          <w:rFonts w:ascii="Bookman Old Style" w:hAnsi="Bookman Old Style" w:cs="Arial Narrow"/>
          <w:sz w:val="22"/>
          <w:szCs w:val="22"/>
          <w:lang w:val="es-PR" w:eastAsia="es-PR"/>
        </w:rPr>
        <w:t>)</w:t>
      </w:r>
      <w:r w:rsidRPr="009B679C">
        <w:rPr>
          <w:rFonts w:ascii="Bookman Old Style" w:hAnsi="Bookman Old Style" w:cs="Arial Narrow"/>
          <w:sz w:val="22"/>
          <w:szCs w:val="22"/>
          <w:lang w:val="es-PR" w:eastAsia="es-PR"/>
        </w:rPr>
        <w:t>. Plan Nacional del Buen Vivir 2013 – 2017.</w:t>
      </w:r>
      <w:bookmarkStart w:id="0" w:name="_GoBack"/>
      <w:bookmarkEnd w:id="0"/>
    </w:p>
    <w:sectPr w:rsidR="00EF7DD7" w:rsidSect="003B78BF">
      <w:headerReference w:type="even" r:id="rId16"/>
      <w:headerReference w:type="default" r:id="rId17"/>
      <w:footerReference w:type="even" r:id="rId18"/>
      <w:footerReference w:type="default" r:id="rId19"/>
      <w:headerReference w:type="first" r:id="rId20"/>
      <w:footerReference w:type="first" r:id="rId21"/>
      <w:pgSz w:w="12242" w:h="15842" w:code="1"/>
      <w:pgMar w:top="1418" w:right="851" w:bottom="1418" w:left="1418" w:header="709" w:footer="709" w:gutter="567"/>
      <w:pgNumType w:start="3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14B" w:rsidRDefault="004F714B">
      <w:r>
        <w:separator/>
      </w:r>
    </w:p>
  </w:endnote>
  <w:endnote w:type="continuationSeparator" w:id="0">
    <w:p w:rsidR="004F714B" w:rsidRDefault="004F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ade Gothic LT Std Bold">
    <w:altName w:val="Trade Gothic LT Std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Condensed">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590"/>
      <w:gridCol w:w="9046"/>
    </w:tblGrid>
    <w:tr w:rsidR="00F81EAE" w:rsidTr="001A369F">
      <w:tc>
        <w:tcPr>
          <w:tcW w:w="306" w:type="pct"/>
          <w:tcBorders>
            <w:top w:val="single" w:sz="4" w:space="0" w:color="943634"/>
          </w:tcBorders>
          <w:shd w:val="clear" w:color="auto" w:fill="E36C0A"/>
        </w:tcPr>
        <w:p w:rsidR="00F81EAE" w:rsidRPr="00A20C40" w:rsidRDefault="00F81EAE" w:rsidP="001C4276">
          <w:pPr>
            <w:pStyle w:val="Piedepgina"/>
            <w:jc w:val="right"/>
            <w:rPr>
              <w:b/>
              <w:color w:val="FFFFFF"/>
              <w:sz w:val="20"/>
              <w:szCs w:val="20"/>
            </w:rPr>
          </w:pPr>
          <w:r w:rsidRPr="00A20C40">
            <w:rPr>
              <w:b/>
              <w:sz w:val="20"/>
              <w:szCs w:val="20"/>
            </w:rPr>
            <w:fldChar w:fldCharType="begin"/>
          </w:r>
          <w:r w:rsidRPr="00A20C40">
            <w:rPr>
              <w:b/>
              <w:sz w:val="20"/>
              <w:szCs w:val="20"/>
            </w:rPr>
            <w:instrText xml:space="preserve"> PAGE   \* MERGEFORMAT </w:instrText>
          </w:r>
          <w:r w:rsidRPr="00A20C40">
            <w:rPr>
              <w:b/>
              <w:sz w:val="20"/>
              <w:szCs w:val="20"/>
            </w:rPr>
            <w:fldChar w:fldCharType="separate"/>
          </w:r>
          <w:r w:rsidR="00B24876" w:rsidRPr="00B24876">
            <w:rPr>
              <w:b/>
              <w:noProof/>
              <w:color w:val="FFFFFF"/>
              <w:sz w:val="20"/>
              <w:szCs w:val="20"/>
            </w:rPr>
            <w:t>42</w:t>
          </w:r>
          <w:r w:rsidRPr="00A20C40">
            <w:rPr>
              <w:b/>
              <w:sz w:val="20"/>
              <w:szCs w:val="20"/>
            </w:rPr>
            <w:fldChar w:fldCharType="end"/>
          </w:r>
        </w:p>
      </w:tc>
      <w:tc>
        <w:tcPr>
          <w:tcW w:w="4694" w:type="pct"/>
          <w:tcBorders>
            <w:top w:val="single" w:sz="4" w:space="0" w:color="auto"/>
          </w:tcBorders>
        </w:tcPr>
        <w:p w:rsidR="00F81EAE" w:rsidRPr="00A20C40" w:rsidRDefault="00F81EAE" w:rsidP="00435F4F">
          <w:pPr>
            <w:pStyle w:val="Piedepgina"/>
            <w:rPr>
              <w:sz w:val="20"/>
              <w:szCs w:val="20"/>
            </w:rPr>
          </w:pPr>
          <w:r w:rsidRPr="006B52F5">
            <w:rPr>
              <w:sz w:val="20"/>
              <w:szCs w:val="20"/>
            </w:rPr>
            <w:t xml:space="preserve"> </w:t>
          </w:r>
          <w:r w:rsidR="002800E8">
            <w:rPr>
              <w:sz w:val="20"/>
              <w:szCs w:val="20"/>
            </w:rPr>
            <w:t>Facultad de Filosofía, Letras y Ciencias de la Educación</w:t>
          </w:r>
          <w:r w:rsidR="00435F4F">
            <w:rPr>
              <w:sz w:val="20"/>
              <w:szCs w:val="20"/>
            </w:rPr>
            <w:t xml:space="preserve">. Universidad Técnica de Manabí. </w:t>
          </w:r>
          <w:r w:rsidR="002800E8">
            <w:rPr>
              <w:sz w:val="20"/>
              <w:szCs w:val="20"/>
            </w:rPr>
            <w:t>ECUADOR</w:t>
          </w:r>
          <w:r w:rsidR="00435F4F">
            <w:rPr>
              <w:sz w:val="20"/>
              <w:szCs w:val="20"/>
            </w:rPr>
            <w:t>.</w:t>
          </w:r>
        </w:p>
      </w:tc>
    </w:tr>
  </w:tbl>
  <w:p w:rsidR="00F81EAE" w:rsidRDefault="00F81EAE" w:rsidP="001C42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46"/>
      <w:gridCol w:w="590"/>
    </w:tblGrid>
    <w:tr w:rsidR="00F81EAE" w:rsidRPr="002C2BCA" w:rsidTr="001A369F">
      <w:tc>
        <w:tcPr>
          <w:tcW w:w="4694" w:type="pct"/>
          <w:tcBorders>
            <w:top w:val="single" w:sz="4" w:space="0" w:color="000000"/>
          </w:tcBorders>
        </w:tcPr>
        <w:p w:rsidR="00F81EAE" w:rsidRPr="00A20C40" w:rsidRDefault="00350E42" w:rsidP="00BA040C">
          <w:pPr>
            <w:pStyle w:val="Piedepgina"/>
            <w:rPr>
              <w:sz w:val="20"/>
              <w:szCs w:val="20"/>
            </w:rPr>
          </w:pPr>
          <w:r>
            <w:rPr>
              <w:sz w:val="20"/>
              <w:szCs w:val="20"/>
            </w:rPr>
            <w:t>Vol. V. Año 2020. Número 1, Enero-Marzo</w:t>
          </w:r>
        </w:p>
      </w:tc>
      <w:tc>
        <w:tcPr>
          <w:tcW w:w="306" w:type="pct"/>
          <w:tcBorders>
            <w:top w:val="single" w:sz="4" w:space="0" w:color="C0504D"/>
          </w:tcBorders>
          <w:shd w:val="clear" w:color="auto" w:fill="E36C0A"/>
        </w:tcPr>
        <w:p w:rsidR="00F81EAE" w:rsidRPr="00C14DA6" w:rsidRDefault="00F81EAE" w:rsidP="001C4276">
          <w:pPr>
            <w:pStyle w:val="Encabezado"/>
            <w:jc w:val="right"/>
            <w:rPr>
              <w:b/>
              <w:color w:val="FFFFFF"/>
              <w:sz w:val="20"/>
              <w:szCs w:val="20"/>
            </w:rPr>
          </w:pPr>
          <w:r w:rsidRPr="00C14DA6">
            <w:rPr>
              <w:b/>
              <w:color w:val="FFFFFF"/>
              <w:sz w:val="20"/>
              <w:szCs w:val="20"/>
            </w:rPr>
            <w:fldChar w:fldCharType="begin"/>
          </w:r>
          <w:r w:rsidRPr="00C14DA6">
            <w:rPr>
              <w:b/>
              <w:color w:val="FFFFFF"/>
              <w:sz w:val="20"/>
              <w:szCs w:val="20"/>
            </w:rPr>
            <w:instrText xml:space="preserve"> PAGE   \* MERGEFORMAT </w:instrText>
          </w:r>
          <w:r w:rsidRPr="00C14DA6">
            <w:rPr>
              <w:b/>
              <w:color w:val="FFFFFF"/>
              <w:sz w:val="20"/>
              <w:szCs w:val="20"/>
            </w:rPr>
            <w:fldChar w:fldCharType="separate"/>
          </w:r>
          <w:r w:rsidR="00B24876">
            <w:rPr>
              <w:b/>
              <w:noProof/>
              <w:color w:val="FFFFFF"/>
              <w:sz w:val="20"/>
              <w:szCs w:val="20"/>
            </w:rPr>
            <w:t>41</w:t>
          </w:r>
          <w:r w:rsidRPr="00C14DA6">
            <w:rPr>
              <w:b/>
              <w:color w:val="FFFFFF"/>
              <w:sz w:val="20"/>
              <w:szCs w:val="20"/>
            </w:rPr>
            <w:fldChar w:fldCharType="end"/>
          </w:r>
        </w:p>
      </w:tc>
    </w:tr>
  </w:tbl>
  <w:p w:rsidR="00F81EAE" w:rsidRDefault="00F81EAE" w:rsidP="001C427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46"/>
      <w:gridCol w:w="590"/>
    </w:tblGrid>
    <w:tr w:rsidR="005A17A2" w:rsidRPr="002C2BCA" w:rsidTr="001A369F">
      <w:tc>
        <w:tcPr>
          <w:tcW w:w="4694" w:type="pct"/>
          <w:tcBorders>
            <w:top w:val="single" w:sz="4" w:space="0" w:color="000000"/>
          </w:tcBorders>
        </w:tcPr>
        <w:p w:rsidR="005A17A2" w:rsidRPr="00A20C40" w:rsidRDefault="00350E42" w:rsidP="00BA040C">
          <w:pPr>
            <w:pStyle w:val="Piedepgina"/>
            <w:rPr>
              <w:sz w:val="20"/>
              <w:szCs w:val="20"/>
            </w:rPr>
          </w:pPr>
          <w:r>
            <w:rPr>
              <w:sz w:val="20"/>
              <w:szCs w:val="20"/>
            </w:rPr>
            <w:t>Vol. V. Año 2020. Número 1, Enero-Marzo</w:t>
          </w:r>
        </w:p>
      </w:tc>
      <w:tc>
        <w:tcPr>
          <w:tcW w:w="306" w:type="pct"/>
          <w:tcBorders>
            <w:top w:val="single" w:sz="4" w:space="0" w:color="C0504D"/>
          </w:tcBorders>
          <w:shd w:val="clear" w:color="auto" w:fill="E36C0A"/>
        </w:tcPr>
        <w:p w:rsidR="005A17A2" w:rsidRPr="00C14DA6" w:rsidRDefault="005A17A2" w:rsidP="001A369F">
          <w:pPr>
            <w:pStyle w:val="Encabezado"/>
            <w:jc w:val="right"/>
            <w:rPr>
              <w:b/>
              <w:color w:val="FFFFFF"/>
              <w:sz w:val="20"/>
              <w:szCs w:val="20"/>
            </w:rPr>
          </w:pPr>
          <w:r w:rsidRPr="00C14DA6">
            <w:rPr>
              <w:b/>
              <w:color w:val="FFFFFF"/>
              <w:sz w:val="20"/>
              <w:szCs w:val="20"/>
            </w:rPr>
            <w:fldChar w:fldCharType="begin"/>
          </w:r>
          <w:r w:rsidRPr="00C14DA6">
            <w:rPr>
              <w:b/>
              <w:color w:val="FFFFFF"/>
              <w:sz w:val="20"/>
              <w:szCs w:val="20"/>
            </w:rPr>
            <w:instrText xml:space="preserve"> PAGE   \* MERGEFORMAT </w:instrText>
          </w:r>
          <w:r w:rsidRPr="00C14DA6">
            <w:rPr>
              <w:b/>
              <w:color w:val="FFFFFF"/>
              <w:sz w:val="20"/>
              <w:szCs w:val="20"/>
            </w:rPr>
            <w:fldChar w:fldCharType="separate"/>
          </w:r>
          <w:r w:rsidR="00B24876">
            <w:rPr>
              <w:b/>
              <w:noProof/>
              <w:color w:val="FFFFFF"/>
              <w:sz w:val="20"/>
              <w:szCs w:val="20"/>
            </w:rPr>
            <w:t>33</w:t>
          </w:r>
          <w:r w:rsidRPr="00C14DA6">
            <w:rPr>
              <w:b/>
              <w:color w:val="FFFFFF"/>
              <w:sz w:val="20"/>
              <w:szCs w:val="20"/>
            </w:rPr>
            <w:fldChar w:fldCharType="end"/>
          </w:r>
        </w:p>
      </w:tc>
    </w:tr>
  </w:tbl>
  <w:p w:rsidR="005A17A2" w:rsidRDefault="005A17A2" w:rsidP="005A17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14B" w:rsidRDefault="004F714B">
      <w:r>
        <w:separator/>
      </w:r>
    </w:p>
  </w:footnote>
  <w:footnote w:type="continuationSeparator" w:id="0">
    <w:p w:rsidR="004F714B" w:rsidRDefault="004F714B">
      <w:r>
        <w:continuationSeparator/>
      </w:r>
    </w:p>
  </w:footnote>
  <w:footnote w:id="1">
    <w:p w:rsidR="00EA0F76" w:rsidRDefault="00EA0F76" w:rsidP="00EA0F76">
      <w:pPr>
        <w:pStyle w:val="Textonotapie"/>
        <w:jc w:val="both"/>
      </w:pPr>
      <w:r>
        <w:rPr>
          <w:rStyle w:val="Refdenotaalpie"/>
        </w:rPr>
        <w:footnoteRef/>
      </w:r>
      <w:r>
        <w:t xml:space="preserve"> </w:t>
      </w:r>
      <w:r w:rsidR="00350E42">
        <w:t xml:space="preserve">Docente. </w:t>
      </w:r>
      <w:r w:rsidR="00350E42" w:rsidRPr="00350E42">
        <w:t>Departamento de Biología</w:t>
      </w:r>
      <w:r w:rsidR="00350E42">
        <w:t>.</w:t>
      </w:r>
      <w:r w:rsidR="00350E42" w:rsidRPr="00350E42">
        <w:t xml:space="preserve"> </w:t>
      </w:r>
      <w:r w:rsidR="00350E42" w:rsidRPr="00350E42">
        <w:t>Universidad Técnica de Manabí.</w:t>
      </w:r>
      <w:r w:rsidR="00350E42">
        <w:t xml:space="preserve"> Ecuador. </w:t>
      </w:r>
    </w:p>
  </w:footnote>
  <w:footnote w:id="2">
    <w:p w:rsidR="003B78BF" w:rsidRDefault="003B78BF" w:rsidP="003B78BF">
      <w:pPr>
        <w:pStyle w:val="Textonotapie"/>
        <w:jc w:val="both"/>
      </w:pPr>
      <w:r>
        <w:rPr>
          <w:rStyle w:val="Refdenotaalpie"/>
        </w:rPr>
        <w:footnoteRef/>
      </w:r>
      <w:r>
        <w:t xml:space="preserve"> </w:t>
      </w:r>
      <w:r w:rsidR="00350E42">
        <w:t xml:space="preserve">Docente. </w:t>
      </w:r>
      <w:r w:rsidR="00350E42" w:rsidRPr="00350E42">
        <w:t>Departamento de Ciencias Médicas, Facultad de Ciencias de la Salud, Universidad Técnica de Manabí.</w:t>
      </w:r>
      <w:r w:rsidR="00350E42">
        <w:t xml:space="preserve"> Ecuador. E-mail: </w:t>
      </w:r>
      <w:hyperlink r:id="rId1" w:history="1">
        <w:r w:rsidR="00350E42" w:rsidRPr="00D614FE">
          <w:rPr>
            <w:rStyle w:val="Hipervnculo"/>
            <w:lang w:val="es-EC"/>
          </w:rPr>
          <w:t>liliansfa87@gmail.com</w:t>
        </w:r>
      </w:hyperlink>
      <w:r w:rsidR="00350E42">
        <w:t xml:space="preserve"> </w:t>
      </w:r>
    </w:p>
  </w:footnote>
  <w:footnote w:id="3">
    <w:p w:rsidR="003B78BF" w:rsidRDefault="003B78BF" w:rsidP="003B78BF">
      <w:pPr>
        <w:pStyle w:val="Textonotapie"/>
        <w:jc w:val="both"/>
      </w:pPr>
      <w:r>
        <w:rPr>
          <w:rStyle w:val="Refdenotaalpie"/>
        </w:rPr>
        <w:footnoteRef/>
      </w:r>
      <w:r>
        <w:t xml:space="preserve"> </w:t>
      </w:r>
      <w:r w:rsidR="00350E42">
        <w:t xml:space="preserve">Docente. </w:t>
      </w:r>
      <w:r w:rsidR="00350E42" w:rsidRPr="00350E42">
        <w:t>Departamento de Matemáticas y Estadísticas, Instituto de Ciencias Básicas, Universidad Técnica de Manabí.</w:t>
      </w:r>
      <w:r w:rsidR="00350E42">
        <w:t xml:space="preserve"> </w:t>
      </w:r>
      <w:r w:rsidR="00350E42">
        <w:t>Ecuador. E-mail:</w:t>
      </w:r>
      <w:hyperlink r:id="rId2" w:history="1">
        <w:r w:rsidR="00350E42" w:rsidRPr="00D614FE">
          <w:rPr>
            <w:rStyle w:val="Hipervnculo"/>
            <w:lang w:val="es-EC"/>
          </w:rPr>
          <w:t>rosybravo777@gmail.com</w:t>
        </w:r>
      </w:hyperlink>
      <w:r w:rsidR="00350E42">
        <w:t xml:space="preserve"> </w:t>
      </w:r>
    </w:p>
  </w:footnote>
  <w:footnote w:id="4">
    <w:p w:rsidR="003B78BF" w:rsidRDefault="003B78BF" w:rsidP="003B78BF">
      <w:pPr>
        <w:pStyle w:val="Textonotapie"/>
        <w:jc w:val="both"/>
      </w:pPr>
      <w:r>
        <w:rPr>
          <w:rStyle w:val="Refdenotaalpie"/>
        </w:rPr>
        <w:footnoteRef/>
      </w:r>
      <w:r>
        <w:t xml:space="preserve"> </w:t>
      </w:r>
      <w:r w:rsidR="00350E42">
        <w:t xml:space="preserve">Docente. </w:t>
      </w:r>
      <w:r w:rsidR="00350E42" w:rsidRPr="00350E42">
        <w:t>Universidad Técnica de Manabí.</w:t>
      </w:r>
      <w:r w:rsidR="00350E42">
        <w:t xml:space="preserve"> Ecuador. E-mail: </w:t>
      </w:r>
      <w:hyperlink r:id="rId3" w:history="1">
        <w:r w:rsidR="00350E42" w:rsidRPr="00D614FE">
          <w:rPr>
            <w:rStyle w:val="Hipervnculo"/>
            <w:lang w:val="es-EC"/>
          </w:rPr>
          <w:t>jose110880@hotmail.com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AE" w:rsidRDefault="00F81EAE" w:rsidP="001C4276">
    <w:pPr>
      <w:pStyle w:val="Encabezado"/>
      <w:jc w:val="right"/>
    </w:pPr>
  </w:p>
  <w:p w:rsidR="00F81EAE" w:rsidRPr="00FD68FF" w:rsidRDefault="003B78BF" w:rsidP="00FD68FF">
    <w:pPr>
      <w:pStyle w:val="Encabezado"/>
      <w:pBdr>
        <w:top w:val="single" w:sz="6" w:space="1" w:color="auto"/>
        <w:bottom w:val="single" w:sz="6" w:space="1" w:color="auto"/>
      </w:pBdr>
      <w:tabs>
        <w:tab w:val="left" w:pos="6341"/>
        <w:tab w:val="right" w:pos="9406"/>
      </w:tabs>
      <w:jc w:val="right"/>
      <w:rPr>
        <w:sz w:val="20"/>
        <w:szCs w:val="20"/>
        <w:lang w:val="pt-PT"/>
      </w:rPr>
    </w:pPr>
    <w:r w:rsidRPr="00F10185">
      <w:rPr>
        <w:sz w:val="20"/>
        <w:szCs w:val="20"/>
      </w:rPr>
      <w:t>Mirna Cecilia Oviedo, Lilian Sosa Fernández-Aballí, Rosalba Bravo Saltos, José Luis Meza Ramírez</w:t>
    </w:r>
    <w:r>
      <w:rPr>
        <w:sz w:val="20"/>
        <w:szCs w:val="20"/>
        <w:lang w:val="pt-PT"/>
      </w:rPr>
      <w:t xml:space="preserve"> </w:t>
    </w:r>
  </w:p>
  <w:p w:rsidR="00F81EAE" w:rsidRPr="00FD68FF" w:rsidRDefault="00F81EAE" w:rsidP="001C4276">
    <w:pPr>
      <w:pStyle w:val="Encabezado"/>
      <w:jc w:val="right"/>
      <w:rPr>
        <w:lang w:val="pt-P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AE" w:rsidRPr="00D60890" w:rsidRDefault="00435F4F" w:rsidP="00D60890">
    <w:pPr>
      <w:pStyle w:val="Ttulo1"/>
      <w:spacing w:before="0" w:beforeAutospacing="0" w:after="0" w:afterAutospacing="0"/>
      <w:rPr>
        <w:b w:val="0"/>
        <w:sz w:val="20"/>
        <w:szCs w:val="20"/>
      </w:rPr>
    </w:pPr>
    <w:r w:rsidRPr="00D60890">
      <w:rPr>
        <w:b w:val="0"/>
        <w:sz w:val="20"/>
        <w:szCs w:val="20"/>
      </w:rPr>
      <w:t xml:space="preserve">Revista Cognosis. Revista de Filosofía, Letras y Ciencias de la Educación </w:t>
    </w:r>
    <w:r w:rsidR="00F81EAE" w:rsidRPr="00D60890">
      <w:rPr>
        <w:b w:val="0"/>
        <w:sz w:val="20"/>
        <w:szCs w:val="20"/>
      </w:rPr>
      <w:t xml:space="preserve">   </w:t>
    </w:r>
    <w:r w:rsidR="00D60890" w:rsidRPr="00D60890">
      <w:rPr>
        <w:b w:val="0"/>
        <w:sz w:val="20"/>
        <w:szCs w:val="20"/>
      </w:rPr>
      <w:t xml:space="preserve">                             </w:t>
    </w:r>
    <w:r w:rsidR="00F81EAE" w:rsidRPr="00D60890">
      <w:rPr>
        <w:b w:val="0"/>
        <w:sz w:val="20"/>
        <w:szCs w:val="20"/>
      </w:rPr>
      <w:t xml:space="preserve">  </w:t>
    </w:r>
    <w:r w:rsidR="00D60890">
      <w:rPr>
        <w:b w:val="0"/>
        <w:sz w:val="20"/>
        <w:szCs w:val="20"/>
      </w:rPr>
      <w:t xml:space="preserve">       </w:t>
    </w:r>
    <w:r w:rsidR="00F81EAE" w:rsidRPr="00D60890">
      <w:rPr>
        <w:b w:val="0"/>
        <w:sz w:val="20"/>
        <w:szCs w:val="20"/>
      </w:rPr>
      <w:t xml:space="preserve">ISSN </w:t>
    </w:r>
    <w:hyperlink r:id="rId1" w:history="1">
      <w:r w:rsidR="00D60890" w:rsidRPr="00535AA9">
        <w:rPr>
          <w:rStyle w:val="Hipervnculo"/>
          <w:b w:val="0"/>
          <w:color w:val="000000"/>
          <w:sz w:val="20"/>
          <w:u w:val="none"/>
        </w:rPr>
        <w:t>2588-0578</w:t>
      </w:r>
    </w:hyperlink>
  </w:p>
  <w:p w:rsidR="00F81EAE" w:rsidRPr="00350E42" w:rsidRDefault="00350E42" w:rsidP="001C4276">
    <w:pPr>
      <w:pStyle w:val="Encabezado"/>
      <w:pBdr>
        <w:top w:val="single" w:sz="6" w:space="1" w:color="auto"/>
        <w:bottom w:val="single" w:sz="6" w:space="1" w:color="auto"/>
      </w:pBdr>
      <w:jc w:val="both"/>
      <w:rPr>
        <w:sz w:val="8"/>
        <w:szCs w:val="20"/>
      </w:rPr>
    </w:pPr>
    <w:r w:rsidRPr="00350E42">
      <w:rPr>
        <w:sz w:val="20"/>
        <w:lang w:val="es-EC"/>
      </w:rPr>
      <w:t xml:space="preserve">PREPARACIÓN PARA EL EXAMEN SER BACHILLER Y SATISFACCIÓN </w:t>
    </w:r>
    <w:r>
      <w:rPr>
        <w:sz w:val="20"/>
        <w:lang w:val="es-EC"/>
      </w:rPr>
      <w:t>CON</w:t>
    </w:r>
    <w:r w:rsidRPr="00350E42">
      <w:rPr>
        <w:sz w:val="20"/>
        <w:lang w:val="es-EC"/>
      </w:rPr>
      <w:t xml:space="preserve"> LA CARRERA</w:t>
    </w:r>
  </w:p>
  <w:p w:rsidR="00F81EAE" w:rsidRDefault="00F81EAE" w:rsidP="001C4276">
    <w:pPr>
      <w:pStyle w:val="Encabezado"/>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A2" w:rsidRDefault="00B24876">
    <w:pPr>
      <w:pStyle w:val="Encabezado"/>
      <w:pBdr>
        <w:bottom w:val="single" w:sz="6" w:space="1" w:color="auto"/>
      </w:pBdr>
    </w:pPr>
    <w:r>
      <w:rPr>
        <w:noProof/>
        <w:lang w:val="es-EC" w:eastAsia="es-EC"/>
      </w:rPr>
      <w:drawing>
        <wp:inline distT="0" distB="0" distL="0" distR="0">
          <wp:extent cx="5962650" cy="1104900"/>
          <wp:effectExtent l="0" t="0" r="0" b="0"/>
          <wp:docPr id="7" name="Imagen 7" descr="heading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ading 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0" cy="1104900"/>
                  </a:xfrm>
                  <a:prstGeom prst="rect">
                    <a:avLst/>
                  </a:prstGeom>
                  <a:noFill/>
                  <a:ln>
                    <a:noFill/>
                  </a:ln>
                </pic:spPr>
              </pic:pic>
            </a:graphicData>
          </a:graphic>
        </wp:inline>
      </w:drawing>
    </w:r>
  </w:p>
  <w:p w:rsidR="005A17A2" w:rsidRDefault="005A17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7939"/>
    <w:multiLevelType w:val="hybridMultilevel"/>
    <w:tmpl w:val="89F629F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2F4D5825"/>
    <w:multiLevelType w:val="hybridMultilevel"/>
    <w:tmpl w:val="8E1A146E"/>
    <w:lvl w:ilvl="0" w:tplc="BF140712">
      <w:numFmt w:val="bullet"/>
      <w:lvlText w:val="-"/>
      <w:lvlJc w:val="left"/>
      <w:pPr>
        <w:ind w:left="1065" w:hanging="705"/>
      </w:pPr>
      <w:rPr>
        <w:rFonts w:ascii="Bookman Old Style" w:eastAsia="Times New Roman" w:hAnsi="Bookman Old Style" w:cs="Arial Narro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52734143"/>
    <w:multiLevelType w:val="hybridMultilevel"/>
    <w:tmpl w:val="DAF441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AE"/>
    <w:rsid w:val="00004669"/>
    <w:rsid w:val="00036754"/>
    <w:rsid w:val="00047230"/>
    <w:rsid w:val="000503C5"/>
    <w:rsid w:val="000640DF"/>
    <w:rsid w:val="00064350"/>
    <w:rsid w:val="00085B80"/>
    <w:rsid w:val="000952D0"/>
    <w:rsid w:val="000A42E7"/>
    <w:rsid w:val="000C19B5"/>
    <w:rsid w:val="000D304C"/>
    <w:rsid w:val="000E11D1"/>
    <w:rsid w:val="00154576"/>
    <w:rsid w:val="00160F24"/>
    <w:rsid w:val="00161384"/>
    <w:rsid w:val="001708B7"/>
    <w:rsid w:val="00194FE2"/>
    <w:rsid w:val="001A369F"/>
    <w:rsid w:val="001A6B4C"/>
    <w:rsid w:val="001C4276"/>
    <w:rsid w:val="001D6487"/>
    <w:rsid w:val="001D6C98"/>
    <w:rsid w:val="001F1F86"/>
    <w:rsid w:val="001F4A63"/>
    <w:rsid w:val="00201EC5"/>
    <w:rsid w:val="00213514"/>
    <w:rsid w:val="00220D8F"/>
    <w:rsid w:val="00221814"/>
    <w:rsid w:val="0022612F"/>
    <w:rsid w:val="00227FB7"/>
    <w:rsid w:val="00234EDA"/>
    <w:rsid w:val="00273DD2"/>
    <w:rsid w:val="00277874"/>
    <w:rsid w:val="002800E8"/>
    <w:rsid w:val="0028092D"/>
    <w:rsid w:val="002E3991"/>
    <w:rsid w:val="003228D4"/>
    <w:rsid w:val="00342F88"/>
    <w:rsid w:val="00350E42"/>
    <w:rsid w:val="00352C95"/>
    <w:rsid w:val="00357A5F"/>
    <w:rsid w:val="00361DD4"/>
    <w:rsid w:val="00367589"/>
    <w:rsid w:val="00377BCE"/>
    <w:rsid w:val="003B11E2"/>
    <w:rsid w:val="003B6E3F"/>
    <w:rsid w:val="003B78BF"/>
    <w:rsid w:val="00435F4F"/>
    <w:rsid w:val="00474B34"/>
    <w:rsid w:val="004B7970"/>
    <w:rsid w:val="004E053E"/>
    <w:rsid w:val="004F3F67"/>
    <w:rsid w:val="004F5C7B"/>
    <w:rsid w:val="004F714B"/>
    <w:rsid w:val="00513938"/>
    <w:rsid w:val="00535AA9"/>
    <w:rsid w:val="00560CB7"/>
    <w:rsid w:val="00562799"/>
    <w:rsid w:val="00575250"/>
    <w:rsid w:val="00583F77"/>
    <w:rsid w:val="005A17A2"/>
    <w:rsid w:val="005E27F8"/>
    <w:rsid w:val="005F3E79"/>
    <w:rsid w:val="00635179"/>
    <w:rsid w:val="006440A6"/>
    <w:rsid w:val="00657EEC"/>
    <w:rsid w:val="0067231B"/>
    <w:rsid w:val="00683AD5"/>
    <w:rsid w:val="007101D8"/>
    <w:rsid w:val="007765EF"/>
    <w:rsid w:val="00793B1E"/>
    <w:rsid w:val="007A2EC4"/>
    <w:rsid w:val="007B1FB5"/>
    <w:rsid w:val="007C4AAB"/>
    <w:rsid w:val="007D1495"/>
    <w:rsid w:val="007D514A"/>
    <w:rsid w:val="00820CC3"/>
    <w:rsid w:val="00885F0D"/>
    <w:rsid w:val="008A164C"/>
    <w:rsid w:val="008C0C4A"/>
    <w:rsid w:val="009636A6"/>
    <w:rsid w:val="00967B55"/>
    <w:rsid w:val="009772B6"/>
    <w:rsid w:val="00994090"/>
    <w:rsid w:val="00995839"/>
    <w:rsid w:val="009B679C"/>
    <w:rsid w:val="009C5C7E"/>
    <w:rsid w:val="009F70F1"/>
    <w:rsid w:val="00A15490"/>
    <w:rsid w:val="00A224D5"/>
    <w:rsid w:val="00A71E82"/>
    <w:rsid w:val="00A92791"/>
    <w:rsid w:val="00A964A6"/>
    <w:rsid w:val="00A96CCC"/>
    <w:rsid w:val="00AD61E7"/>
    <w:rsid w:val="00AE22C6"/>
    <w:rsid w:val="00B24876"/>
    <w:rsid w:val="00B47E04"/>
    <w:rsid w:val="00B97C04"/>
    <w:rsid w:val="00BA040C"/>
    <w:rsid w:val="00BD3B94"/>
    <w:rsid w:val="00BE1E69"/>
    <w:rsid w:val="00C21401"/>
    <w:rsid w:val="00C61366"/>
    <w:rsid w:val="00C668CD"/>
    <w:rsid w:val="00C72756"/>
    <w:rsid w:val="00C86DBB"/>
    <w:rsid w:val="00CA1653"/>
    <w:rsid w:val="00CA733D"/>
    <w:rsid w:val="00CE3335"/>
    <w:rsid w:val="00D3566B"/>
    <w:rsid w:val="00D50B57"/>
    <w:rsid w:val="00D60890"/>
    <w:rsid w:val="00D63E53"/>
    <w:rsid w:val="00DB6E1C"/>
    <w:rsid w:val="00E07166"/>
    <w:rsid w:val="00E2243F"/>
    <w:rsid w:val="00E70C69"/>
    <w:rsid w:val="00E71F70"/>
    <w:rsid w:val="00EA0F76"/>
    <w:rsid w:val="00EB4131"/>
    <w:rsid w:val="00EC22EE"/>
    <w:rsid w:val="00EF7DD7"/>
    <w:rsid w:val="00F241C0"/>
    <w:rsid w:val="00F2714C"/>
    <w:rsid w:val="00F37F9C"/>
    <w:rsid w:val="00F60A5F"/>
    <w:rsid w:val="00F81EAE"/>
    <w:rsid w:val="00F95CFF"/>
    <w:rsid w:val="00FC59A3"/>
    <w:rsid w:val="00FD1E7B"/>
    <w:rsid w:val="00FD6100"/>
    <w:rsid w:val="00FD68FF"/>
    <w:rsid w:val="00FE43D8"/>
    <w:rsid w:val="00FF218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lang w:val="es-ES" w:eastAsia="es-ES"/>
    </w:rPr>
  </w:style>
  <w:style w:type="paragraph" w:styleId="Ttulo1">
    <w:name w:val="heading 1"/>
    <w:basedOn w:val="Normal"/>
    <w:link w:val="Ttulo1Car"/>
    <w:uiPriority w:val="9"/>
    <w:qFormat/>
    <w:rsid w:val="002800E8"/>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basedOn w:val="Normal"/>
    <w:link w:val="TextonotapieCar"/>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uiPriority w:val="9"/>
    <w:rsid w:val="002800E8"/>
    <w:rPr>
      <w:b/>
      <w:bCs/>
      <w:kern w:val="36"/>
      <w:sz w:val="48"/>
      <w:szCs w:val="48"/>
    </w:rPr>
  </w:style>
  <w:style w:type="paragraph" w:customStyle="1" w:styleId="Pa7">
    <w:name w:val="Pa7"/>
    <w:basedOn w:val="Normal"/>
    <w:next w:val="Normal"/>
    <w:uiPriority w:val="99"/>
    <w:rsid w:val="00A15490"/>
    <w:pPr>
      <w:autoSpaceDE w:val="0"/>
      <w:autoSpaceDN w:val="0"/>
      <w:adjustRightInd w:val="0"/>
      <w:spacing w:line="241" w:lineRule="atLeast"/>
    </w:pPr>
    <w:rPr>
      <w:rFonts w:ascii="Trade Gothic LT Std Bold" w:eastAsia="Calibri" w:hAnsi="Trade Gothic LT Std Bold"/>
      <w:lang w:eastAsia="en-US"/>
    </w:rPr>
  </w:style>
  <w:style w:type="character" w:customStyle="1" w:styleId="TextonotapieCar">
    <w:name w:val="Texto nota pie Car"/>
    <w:link w:val="Textonotapie"/>
    <w:semiHidden/>
    <w:rsid w:val="00A15490"/>
    <w:rPr>
      <w:lang w:val="es-ES" w:eastAsia="es-ES"/>
    </w:rPr>
  </w:style>
  <w:style w:type="paragraph" w:styleId="NormalWeb">
    <w:name w:val="Normal (Web)"/>
    <w:basedOn w:val="Normal"/>
    <w:uiPriority w:val="99"/>
    <w:unhideWhenUsed/>
    <w:rsid w:val="00A15490"/>
    <w:pPr>
      <w:spacing w:before="100" w:beforeAutospacing="1" w:after="100" w:afterAutospacing="1"/>
    </w:pPr>
  </w:style>
  <w:style w:type="paragraph" w:styleId="Prrafodelista">
    <w:name w:val="List Paragraph"/>
    <w:basedOn w:val="Normal"/>
    <w:qFormat/>
    <w:rsid w:val="00A15490"/>
    <w:pPr>
      <w:ind w:left="720"/>
      <w:contextualSpacing/>
    </w:pPr>
    <w:rPr>
      <w:lang w:val="es-MX" w:eastAsia="es-MX"/>
    </w:rPr>
  </w:style>
  <w:style w:type="paragraph" w:styleId="Bibliografa">
    <w:name w:val="Bibliography"/>
    <w:basedOn w:val="Normal"/>
    <w:next w:val="Normal"/>
    <w:uiPriority w:val="37"/>
    <w:unhideWhenUsed/>
    <w:rsid w:val="00A15490"/>
    <w:pPr>
      <w:spacing w:after="160" w:line="259" w:lineRule="auto"/>
    </w:pPr>
    <w:rPr>
      <w:rFonts w:ascii="Calibri" w:eastAsia="Calibri" w:hAnsi="Calibri"/>
      <w:sz w:val="22"/>
      <w:szCs w:val="22"/>
      <w:lang w:val="es-EC" w:eastAsia="en-US"/>
    </w:rPr>
  </w:style>
  <w:style w:type="table" w:styleId="Tablaconcuadrcula">
    <w:name w:val="Table Grid"/>
    <w:basedOn w:val="Tablanormal"/>
    <w:uiPriority w:val="59"/>
    <w:rsid w:val="00A15490"/>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A15490"/>
    <w:rPr>
      <w:rFonts w:ascii="Consolas" w:eastAsia="Calibri" w:hAnsi="Consolas" w:cs="Consolas"/>
      <w:sz w:val="20"/>
      <w:szCs w:val="20"/>
      <w:lang w:val="es-EC" w:eastAsia="en-US"/>
    </w:rPr>
  </w:style>
  <w:style w:type="character" w:customStyle="1" w:styleId="HTMLconformatoprevioCar">
    <w:name w:val="HTML con formato previo Car"/>
    <w:link w:val="HTMLconformatoprevio"/>
    <w:uiPriority w:val="99"/>
    <w:rsid w:val="00A15490"/>
    <w:rPr>
      <w:rFonts w:ascii="Consolas" w:eastAsia="Calibri" w:hAnsi="Consolas" w:cs="Consolas"/>
      <w:lang w:eastAsia="en-US"/>
    </w:rPr>
  </w:style>
  <w:style w:type="character" w:customStyle="1" w:styleId="EnlacedeInternet">
    <w:name w:val="Enlace de Internet"/>
    <w:rsid w:val="00FD68FF"/>
    <w:rPr>
      <w:color w:val="0563C1"/>
      <w:u w:val="single"/>
    </w:rPr>
  </w:style>
  <w:style w:type="paragraph" w:customStyle="1" w:styleId="Predeterminado">
    <w:name w:val="Predeterminado"/>
    <w:rsid w:val="00FD68FF"/>
    <w:pPr>
      <w:widowControl w:val="0"/>
      <w:tabs>
        <w:tab w:val="left" w:pos="708"/>
      </w:tabs>
      <w:suppressAutoHyphens/>
      <w:spacing w:after="200" w:line="100" w:lineRule="atLeast"/>
    </w:pPr>
    <w:rPr>
      <w:rFonts w:ascii="Liberation Serif" w:eastAsia="DejaVu Sans Condensed" w:hAnsi="Liberation Serif" w:cs="FreeSans"/>
      <w:color w:val="00000A"/>
      <w:sz w:val="24"/>
      <w:szCs w:val="24"/>
      <w:lang w:val="es-VE" w:eastAsia="zh-CN" w:bidi="hi-IN"/>
    </w:rPr>
  </w:style>
  <w:style w:type="character" w:styleId="Textoennegrita">
    <w:name w:val="Strong"/>
    <w:uiPriority w:val="22"/>
    <w:qFormat/>
    <w:rsid w:val="00BA040C"/>
    <w:rPr>
      <w:b/>
      <w:bCs/>
    </w:rPr>
  </w:style>
  <w:style w:type="character" w:styleId="Hipervnculovisitado">
    <w:name w:val="FollowedHyperlink"/>
    <w:rsid w:val="00BA040C"/>
    <w:rPr>
      <w:color w:val="800080"/>
      <w:u w:val="single"/>
    </w:rPr>
  </w:style>
  <w:style w:type="paragraph" w:customStyle="1" w:styleId="TtuloenEspaol">
    <w:name w:val="Título en Español"/>
    <w:basedOn w:val="Normal"/>
    <w:rsid w:val="003B78BF"/>
    <w:pPr>
      <w:widowControl w:val="0"/>
      <w:suppressAutoHyphens/>
      <w:spacing w:before="1200"/>
      <w:jc w:val="center"/>
    </w:pPr>
    <w:rPr>
      <w:rFonts w:ascii="Arial" w:hAnsi="Arial"/>
      <w:b/>
      <w:bCs/>
      <w:caps/>
      <w:sz w:val="32"/>
      <w:szCs w:val="32"/>
      <w:lang w:eastAsia="he-IL" w:bidi="he-IL"/>
    </w:rPr>
  </w:style>
  <w:style w:type="character" w:customStyle="1" w:styleId="label">
    <w:name w:val="label"/>
    <w:rsid w:val="00350E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lang w:val="es-ES" w:eastAsia="es-ES"/>
    </w:rPr>
  </w:style>
  <w:style w:type="paragraph" w:styleId="Ttulo1">
    <w:name w:val="heading 1"/>
    <w:basedOn w:val="Normal"/>
    <w:link w:val="Ttulo1Car"/>
    <w:uiPriority w:val="9"/>
    <w:qFormat/>
    <w:rsid w:val="002800E8"/>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basedOn w:val="Normal"/>
    <w:link w:val="TextonotapieCar"/>
    <w:semiHidden/>
    <w:rsid w:val="00F81EAE"/>
    <w:rPr>
      <w:sz w:val="20"/>
      <w:szCs w:val="20"/>
    </w:rPr>
  </w:style>
  <w:style w:type="character" w:styleId="Refdenotaalpie">
    <w:name w:val="footnote reference"/>
    <w:semiHidden/>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uiPriority w:val="9"/>
    <w:rsid w:val="002800E8"/>
    <w:rPr>
      <w:b/>
      <w:bCs/>
      <w:kern w:val="36"/>
      <w:sz w:val="48"/>
      <w:szCs w:val="48"/>
    </w:rPr>
  </w:style>
  <w:style w:type="paragraph" w:customStyle="1" w:styleId="Pa7">
    <w:name w:val="Pa7"/>
    <w:basedOn w:val="Normal"/>
    <w:next w:val="Normal"/>
    <w:uiPriority w:val="99"/>
    <w:rsid w:val="00A15490"/>
    <w:pPr>
      <w:autoSpaceDE w:val="0"/>
      <w:autoSpaceDN w:val="0"/>
      <w:adjustRightInd w:val="0"/>
      <w:spacing w:line="241" w:lineRule="atLeast"/>
    </w:pPr>
    <w:rPr>
      <w:rFonts w:ascii="Trade Gothic LT Std Bold" w:eastAsia="Calibri" w:hAnsi="Trade Gothic LT Std Bold"/>
      <w:lang w:eastAsia="en-US"/>
    </w:rPr>
  </w:style>
  <w:style w:type="character" w:customStyle="1" w:styleId="TextonotapieCar">
    <w:name w:val="Texto nota pie Car"/>
    <w:link w:val="Textonotapie"/>
    <w:semiHidden/>
    <w:rsid w:val="00A15490"/>
    <w:rPr>
      <w:lang w:val="es-ES" w:eastAsia="es-ES"/>
    </w:rPr>
  </w:style>
  <w:style w:type="paragraph" w:styleId="NormalWeb">
    <w:name w:val="Normal (Web)"/>
    <w:basedOn w:val="Normal"/>
    <w:uiPriority w:val="99"/>
    <w:unhideWhenUsed/>
    <w:rsid w:val="00A15490"/>
    <w:pPr>
      <w:spacing w:before="100" w:beforeAutospacing="1" w:after="100" w:afterAutospacing="1"/>
    </w:pPr>
  </w:style>
  <w:style w:type="paragraph" w:styleId="Prrafodelista">
    <w:name w:val="List Paragraph"/>
    <w:basedOn w:val="Normal"/>
    <w:qFormat/>
    <w:rsid w:val="00A15490"/>
    <w:pPr>
      <w:ind w:left="720"/>
      <w:contextualSpacing/>
    </w:pPr>
    <w:rPr>
      <w:lang w:val="es-MX" w:eastAsia="es-MX"/>
    </w:rPr>
  </w:style>
  <w:style w:type="paragraph" w:styleId="Bibliografa">
    <w:name w:val="Bibliography"/>
    <w:basedOn w:val="Normal"/>
    <w:next w:val="Normal"/>
    <w:uiPriority w:val="37"/>
    <w:unhideWhenUsed/>
    <w:rsid w:val="00A15490"/>
    <w:pPr>
      <w:spacing w:after="160" w:line="259" w:lineRule="auto"/>
    </w:pPr>
    <w:rPr>
      <w:rFonts w:ascii="Calibri" w:eastAsia="Calibri" w:hAnsi="Calibri"/>
      <w:sz w:val="22"/>
      <w:szCs w:val="22"/>
      <w:lang w:val="es-EC" w:eastAsia="en-US"/>
    </w:rPr>
  </w:style>
  <w:style w:type="table" w:styleId="Tablaconcuadrcula">
    <w:name w:val="Table Grid"/>
    <w:basedOn w:val="Tablanormal"/>
    <w:uiPriority w:val="59"/>
    <w:rsid w:val="00A15490"/>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A15490"/>
    <w:rPr>
      <w:rFonts w:ascii="Consolas" w:eastAsia="Calibri" w:hAnsi="Consolas" w:cs="Consolas"/>
      <w:sz w:val="20"/>
      <w:szCs w:val="20"/>
      <w:lang w:val="es-EC" w:eastAsia="en-US"/>
    </w:rPr>
  </w:style>
  <w:style w:type="character" w:customStyle="1" w:styleId="HTMLconformatoprevioCar">
    <w:name w:val="HTML con formato previo Car"/>
    <w:link w:val="HTMLconformatoprevio"/>
    <w:uiPriority w:val="99"/>
    <w:rsid w:val="00A15490"/>
    <w:rPr>
      <w:rFonts w:ascii="Consolas" w:eastAsia="Calibri" w:hAnsi="Consolas" w:cs="Consolas"/>
      <w:lang w:eastAsia="en-US"/>
    </w:rPr>
  </w:style>
  <w:style w:type="character" w:customStyle="1" w:styleId="EnlacedeInternet">
    <w:name w:val="Enlace de Internet"/>
    <w:rsid w:val="00FD68FF"/>
    <w:rPr>
      <w:color w:val="0563C1"/>
      <w:u w:val="single"/>
    </w:rPr>
  </w:style>
  <w:style w:type="paragraph" w:customStyle="1" w:styleId="Predeterminado">
    <w:name w:val="Predeterminado"/>
    <w:rsid w:val="00FD68FF"/>
    <w:pPr>
      <w:widowControl w:val="0"/>
      <w:tabs>
        <w:tab w:val="left" w:pos="708"/>
      </w:tabs>
      <w:suppressAutoHyphens/>
      <w:spacing w:after="200" w:line="100" w:lineRule="atLeast"/>
    </w:pPr>
    <w:rPr>
      <w:rFonts w:ascii="Liberation Serif" w:eastAsia="DejaVu Sans Condensed" w:hAnsi="Liberation Serif" w:cs="FreeSans"/>
      <w:color w:val="00000A"/>
      <w:sz w:val="24"/>
      <w:szCs w:val="24"/>
      <w:lang w:val="es-VE" w:eastAsia="zh-CN" w:bidi="hi-IN"/>
    </w:rPr>
  </w:style>
  <w:style w:type="character" w:styleId="Textoennegrita">
    <w:name w:val="Strong"/>
    <w:uiPriority w:val="22"/>
    <w:qFormat/>
    <w:rsid w:val="00BA040C"/>
    <w:rPr>
      <w:b/>
      <w:bCs/>
    </w:rPr>
  </w:style>
  <w:style w:type="character" w:styleId="Hipervnculovisitado">
    <w:name w:val="FollowedHyperlink"/>
    <w:rsid w:val="00BA040C"/>
    <w:rPr>
      <w:color w:val="800080"/>
      <w:u w:val="single"/>
    </w:rPr>
  </w:style>
  <w:style w:type="paragraph" w:customStyle="1" w:styleId="TtuloenEspaol">
    <w:name w:val="Título en Español"/>
    <w:basedOn w:val="Normal"/>
    <w:rsid w:val="003B78BF"/>
    <w:pPr>
      <w:widowControl w:val="0"/>
      <w:suppressAutoHyphens/>
      <w:spacing w:before="1200"/>
      <w:jc w:val="center"/>
    </w:pPr>
    <w:rPr>
      <w:rFonts w:ascii="Arial" w:hAnsi="Arial"/>
      <w:b/>
      <w:bCs/>
      <w:caps/>
      <w:sz w:val="32"/>
      <w:szCs w:val="32"/>
      <w:lang w:eastAsia="he-IL" w:bidi="he-IL"/>
    </w:rPr>
  </w:style>
  <w:style w:type="character" w:customStyle="1" w:styleId="label">
    <w:name w:val="label"/>
    <w:rsid w:val="00350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280113">
      <w:bodyDiv w:val="1"/>
      <w:marLeft w:val="0"/>
      <w:marRight w:val="0"/>
      <w:marTop w:val="0"/>
      <w:marBottom w:val="0"/>
      <w:divBdr>
        <w:top w:val="none" w:sz="0" w:space="0" w:color="auto"/>
        <w:left w:val="none" w:sz="0" w:space="0" w:color="auto"/>
        <w:bottom w:val="none" w:sz="0" w:space="0" w:color="auto"/>
        <w:right w:val="none" w:sz="0" w:space="0" w:color="auto"/>
      </w:divBdr>
    </w:div>
    <w:div w:id="1109006989">
      <w:bodyDiv w:val="1"/>
      <w:marLeft w:val="0"/>
      <w:marRight w:val="0"/>
      <w:marTop w:val="0"/>
      <w:marBottom w:val="0"/>
      <w:divBdr>
        <w:top w:val="none" w:sz="0" w:space="0" w:color="auto"/>
        <w:left w:val="none" w:sz="0" w:space="0" w:color="auto"/>
        <w:bottom w:val="none" w:sz="0" w:space="0" w:color="auto"/>
        <w:right w:val="none" w:sz="0" w:space="0" w:color="auto"/>
      </w:divBdr>
      <w:divsChild>
        <w:div w:id="98373131">
          <w:marLeft w:val="0"/>
          <w:marRight w:val="0"/>
          <w:marTop w:val="0"/>
          <w:marBottom w:val="0"/>
          <w:divBdr>
            <w:top w:val="none" w:sz="0" w:space="0" w:color="auto"/>
            <w:left w:val="none" w:sz="0" w:space="0" w:color="auto"/>
            <w:bottom w:val="none" w:sz="0" w:space="0" w:color="auto"/>
            <w:right w:val="none" w:sz="0" w:space="0" w:color="auto"/>
          </w:divBdr>
          <w:divsChild>
            <w:div w:id="163933188">
              <w:marLeft w:val="0"/>
              <w:marRight w:val="0"/>
              <w:marTop w:val="0"/>
              <w:marBottom w:val="0"/>
              <w:divBdr>
                <w:top w:val="none" w:sz="0" w:space="0" w:color="auto"/>
                <w:left w:val="none" w:sz="0" w:space="0" w:color="auto"/>
                <w:bottom w:val="none" w:sz="0" w:space="0" w:color="auto"/>
                <w:right w:val="none" w:sz="0" w:space="0" w:color="auto"/>
              </w:divBdr>
              <w:divsChild>
                <w:div w:id="866068620">
                  <w:marLeft w:val="0"/>
                  <w:marRight w:val="0"/>
                  <w:marTop w:val="0"/>
                  <w:marBottom w:val="0"/>
                  <w:divBdr>
                    <w:top w:val="none" w:sz="0" w:space="0" w:color="auto"/>
                    <w:left w:val="none" w:sz="0" w:space="0" w:color="auto"/>
                    <w:bottom w:val="none" w:sz="0" w:space="0" w:color="auto"/>
                    <w:right w:val="none" w:sz="0" w:space="0" w:color="auto"/>
                  </w:divBdr>
                  <w:divsChild>
                    <w:div w:id="18727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41056">
      <w:bodyDiv w:val="1"/>
      <w:marLeft w:val="0"/>
      <w:marRight w:val="0"/>
      <w:marTop w:val="0"/>
      <w:marBottom w:val="0"/>
      <w:divBdr>
        <w:top w:val="none" w:sz="0" w:space="0" w:color="auto"/>
        <w:left w:val="none" w:sz="0" w:space="0" w:color="auto"/>
        <w:bottom w:val="none" w:sz="0" w:space="0" w:color="auto"/>
        <w:right w:val="none" w:sz="0" w:space="0" w:color="auto"/>
      </w:divBdr>
    </w:div>
    <w:div w:id="1414475832">
      <w:bodyDiv w:val="1"/>
      <w:marLeft w:val="0"/>
      <w:marRight w:val="0"/>
      <w:marTop w:val="0"/>
      <w:marBottom w:val="0"/>
      <w:divBdr>
        <w:top w:val="none" w:sz="0" w:space="0" w:color="auto"/>
        <w:left w:val="none" w:sz="0" w:space="0" w:color="auto"/>
        <w:bottom w:val="none" w:sz="0" w:space="0" w:color="auto"/>
        <w:right w:val="none" w:sz="0" w:space="0" w:color="auto"/>
      </w:divBdr>
    </w:div>
    <w:div w:id="1563829056">
      <w:bodyDiv w:val="1"/>
      <w:marLeft w:val="0"/>
      <w:marRight w:val="0"/>
      <w:marTop w:val="0"/>
      <w:marBottom w:val="0"/>
      <w:divBdr>
        <w:top w:val="none" w:sz="0" w:space="0" w:color="auto"/>
        <w:left w:val="none" w:sz="0" w:space="0" w:color="auto"/>
        <w:bottom w:val="none" w:sz="0" w:space="0" w:color="auto"/>
        <w:right w:val="none" w:sz="0" w:space="0" w:color="auto"/>
      </w:divBdr>
      <w:divsChild>
        <w:div w:id="602764919">
          <w:marLeft w:val="0"/>
          <w:marRight w:val="0"/>
          <w:marTop w:val="0"/>
          <w:marBottom w:val="0"/>
          <w:divBdr>
            <w:top w:val="none" w:sz="0" w:space="0" w:color="auto"/>
            <w:left w:val="none" w:sz="0" w:space="0" w:color="auto"/>
            <w:bottom w:val="none" w:sz="0" w:space="0" w:color="auto"/>
            <w:right w:val="none" w:sz="0" w:space="0" w:color="auto"/>
          </w:divBdr>
        </w:div>
      </w:divsChild>
    </w:div>
    <w:div w:id="1639064164">
      <w:bodyDiv w:val="1"/>
      <w:marLeft w:val="0"/>
      <w:marRight w:val="0"/>
      <w:marTop w:val="0"/>
      <w:marBottom w:val="0"/>
      <w:divBdr>
        <w:top w:val="none" w:sz="0" w:space="0" w:color="auto"/>
        <w:left w:val="none" w:sz="0" w:space="0" w:color="auto"/>
        <w:bottom w:val="none" w:sz="0" w:space="0" w:color="auto"/>
        <w:right w:val="none" w:sz="0" w:space="0" w:color="auto"/>
      </w:divBdr>
    </w:div>
    <w:div w:id="181582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moviedo@utm.edu.ec" TargetMode="External"/><Relationship Id="rId14" Type="http://schemas.openxmlformats.org/officeDocument/2006/relationships/chart" Target="charts/chart5.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jose110880@hotmail.com" TargetMode="External"/><Relationship Id="rId2" Type="http://schemas.openxmlformats.org/officeDocument/2006/relationships/hyperlink" Target="mailto:rosybravo777@gmail.com" TargetMode="External"/><Relationship Id="rId1" Type="http://schemas.openxmlformats.org/officeDocument/2006/relationships/hyperlink" Target="mailto:liliansfa87@g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revistas.utm.edu.ec/index.php/Cognosis/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Usuario%7d\Desktop\analis%20biologi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uario%7d\Desktop\con%20todas%20las%20carrera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uario%7d\Desktop\con%20todas%20las%20carrera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uario%7d\Desktop\con%20todas%20las%20carrera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suario%7d\Desktop\con%20todas%20las%20carrera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Usuario%7d\Desktop\con%20todas%20las%20carreras.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Hoja2!$B$1</c:f>
              <c:strCache>
                <c:ptCount val="1"/>
                <c:pt idx="0">
                  <c:v>1ra opción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Hoja2!$A$2:$A$12</c:f>
              <c:strCache>
                <c:ptCount val="11"/>
                <c:pt idx="0">
                  <c:v>optometría</c:v>
                </c:pt>
                <c:pt idx="1">
                  <c:v>Q y B</c:v>
                </c:pt>
                <c:pt idx="2">
                  <c:v>agroindustria</c:v>
                </c:pt>
                <c:pt idx="3">
                  <c:v>lab clinico</c:v>
                </c:pt>
                <c:pt idx="4">
                  <c:v>enfermeria</c:v>
                </c:pt>
                <c:pt idx="5">
                  <c:v>veterinaria</c:v>
                </c:pt>
                <c:pt idx="6">
                  <c:v>acuicultura</c:v>
                </c:pt>
                <c:pt idx="7">
                  <c:v>nutrición</c:v>
                </c:pt>
                <c:pt idx="8">
                  <c:v>zootécnia</c:v>
                </c:pt>
                <c:pt idx="9">
                  <c:v>agrícola</c:v>
                </c:pt>
                <c:pt idx="10">
                  <c:v>medina</c:v>
                </c:pt>
              </c:strCache>
            </c:strRef>
          </c:cat>
          <c:val>
            <c:numRef>
              <c:f>Hoja2!$B$2:$B$12</c:f>
              <c:numCache>
                <c:formatCode>General</c:formatCode>
                <c:ptCount val="11"/>
                <c:pt idx="0">
                  <c:v>20</c:v>
                </c:pt>
                <c:pt idx="1">
                  <c:v>29</c:v>
                </c:pt>
                <c:pt idx="2">
                  <c:v>32</c:v>
                </c:pt>
                <c:pt idx="3">
                  <c:v>33</c:v>
                </c:pt>
                <c:pt idx="4">
                  <c:v>38</c:v>
                </c:pt>
                <c:pt idx="5">
                  <c:v>40</c:v>
                </c:pt>
                <c:pt idx="6">
                  <c:v>43</c:v>
                </c:pt>
                <c:pt idx="7">
                  <c:v>55</c:v>
                </c:pt>
                <c:pt idx="8">
                  <c:v>70</c:v>
                </c:pt>
                <c:pt idx="9">
                  <c:v>70</c:v>
                </c:pt>
                <c:pt idx="10">
                  <c:v>100</c:v>
                </c:pt>
              </c:numCache>
            </c:numRef>
          </c:val>
          <c:extLst xmlns:c16r2="http://schemas.microsoft.com/office/drawing/2015/06/chart">
            <c:ext xmlns:c16="http://schemas.microsoft.com/office/drawing/2014/chart" uri="{C3380CC4-5D6E-409C-BE32-E72D297353CC}">
              <c16:uniqueId val="{00000000-9047-4A65-8D27-2249187032F1}"/>
            </c:ext>
          </c:extLst>
        </c:ser>
        <c:dLbls>
          <c:showLegendKey val="0"/>
          <c:showVal val="1"/>
          <c:showCatName val="0"/>
          <c:showSerName val="0"/>
          <c:showPercent val="0"/>
          <c:showBubbleSize val="0"/>
        </c:dLbls>
        <c:gapWidth val="219"/>
        <c:overlap val="-27"/>
        <c:axId val="300354944"/>
        <c:axId val="351807744"/>
      </c:barChart>
      <c:catAx>
        <c:axId val="30035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351807744"/>
        <c:crosses val="autoZero"/>
        <c:auto val="1"/>
        <c:lblAlgn val="ctr"/>
        <c:lblOffset val="100"/>
        <c:noMultiLvlLbl val="0"/>
      </c:catAx>
      <c:valAx>
        <c:axId val="351807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300354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0"/>
          <c:order val="0"/>
          <c:tx>
            <c:strRef>
              <c:f>'1ra opción -preparacion'!$B$18</c:f>
              <c:strCache>
                <c:ptCount val="1"/>
                <c:pt idx="0">
                  <c:v>1ra opción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'1ra opción -preparacion'!$A$19:$A$23</c:f>
              <c:strCache>
                <c:ptCount val="5"/>
                <c:pt idx="0">
                  <c:v>optometría</c:v>
                </c:pt>
                <c:pt idx="1">
                  <c:v>lab clínico</c:v>
                </c:pt>
                <c:pt idx="2">
                  <c:v>enfermería</c:v>
                </c:pt>
                <c:pt idx="3">
                  <c:v>nutrición</c:v>
                </c:pt>
                <c:pt idx="4">
                  <c:v>medicina</c:v>
                </c:pt>
              </c:strCache>
            </c:strRef>
          </c:cat>
          <c:val>
            <c:numRef>
              <c:f>'1ra opción -preparacion'!$B$19:$B$23</c:f>
              <c:numCache>
                <c:formatCode>General</c:formatCode>
                <c:ptCount val="5"/>
                <c:pt idx="0">
                  <c:v>20</c:v>
                </c:pt>
                <c:pt idx="1">
                  <c:v>33</c:v>
                </c:pt>
                <c:pt idx="2">
                  <c:v>38</c:v>
                </c:pt>
                <c:pt idx="3">
                  <c:v>55</c:v>
                </c:pt>
                <c:pt idx="4">
                  <c:v>100</c:v>
                </c:pt>
              </c:numCache>
            </c:numRef>
          </c:val>
          <c:extLst xmlns:c16r2="http://schemas.microsoft.com/office/drawing/2015/06/chart">
            <c:ext xmlns:c16="http://schemas.microsoft.com/office/drawing/2014/chart" uri="{C3380CC4-5D6E-409C-BE32-E72D297353CC}">
              <c16:uniqueId val="{00000000-5A1F-4565-A8E2-5183EAB70835}"/>
            </c:ext>
          </c:extLst>
        </c:ser>
        <c:ser>
          <c:idx val="1"/>
          <c:order val="1"/>
          <c:tx>
            <c:strRef>
              <c:f>'1ra opción -preparacion'!$C$18</c:f>
              <c:strCache>
                <c:ptCount val="1"/>
                <c:pt idx="0">
                  <c:v>% de estudiantes que se prepararon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'1ra opción -preparacion'!$A$19:$A$23</c:f>
              <c:strCache>
                <c:ptCount val="5"/>
                <c:pt idx="0">
                  <c:v>optometría</c:v>
                </c:pt>
                <c:pt idx="1">
                  <c:v>lab clínico</c:v>
                </c:pt>
                <c:pt idx="2">
                  <c:v>enfermería</c:v>
                </c:pt>
                <c:pt idx="3">
                  <c:v>nutrición</c:v>
                </c:pt>
                <c:pt idx="4">
                  <c:v>medicina</c:v>
                </c:pt>
              </c:strCache>
            </c:strRef>
          </c:cat>
          <c:val>
            <c:numRef>
              <c:f>'1ra opción -preparacion'!$C$19:$C$23</c:f>
              <c:numCache>
                <c:formatCode>General</c:formatCode>
                <c:ptCount val="5"/>
                <c:pt idx="0">
                  <c:v>83</c:v>
                </c:pt>
                <c:pt idx="1">
                  <c:v>91</c:v>
                </c:pt>
                <c:pt idx="2">
                  <c:v>74</c:v>
                </c:pt>
                <c:pt idx="3">
                  <c:v>85</c:v>
                </c:pt>
                <c:pt idx="4">
                  <c:v>92</c:v>
                </c:pt>
              </c:numCache>
            </c:numRef>
          </c:val>
          <c:extLst xmlns:c16r2="http://schemas.microsoft.com/office/drawing/2015/06/chart">
            <c:ext xmlns:c16="http://schemas.microsoft.com/office/drawing/2014/chart" uri="{C3380CC4-5D6E-409C-BE32-E72D297353CC}">
              <c16:uniqueId val="{00000001-5A1F-4565-A8E2-5183EAB70835}"/>
            </c:ext>
          </c:extLst>
        </c:ser>
        <c:dLbls>
          <c:showLegendKey val="0"/>
          <c:showVal val="1"/>
          <c:showCatName val="0"/>
          <c:showSerName val="0"/>
          <c:showPercent val="0"/>
          <c:showBubbleSize val="0"/>
        </c:dLbls>
        <c:gapWidth val="150"/>
        <c:overlap val="-25"/>
        <c:axId val="227202176"/>
        <c:axId val="227203712"/>
      </c:barChart>
      <c:lineChart>
        <c:grouping val="standard"/>
        <c:varyColors val="0"/>
        <c:ser>
          <c:idx val="2"/>
          <c:order val="2"/>
          <c:tx>
            <c:strRef>
              <c:f>'1ra opción -preparacion'!$D$18</c:f>
              <c:strCache>
                <c:ptCount val="1"/>
                <c:pt idx="0">
                  <c:v>promedio preparación</c:v>
                </c:pt>
              </c:strCache>
            </c:strRef>
          </c:tx>
          <c:spPr>
            <a:ln w="28575" cap="rnd">
              <a:solidFill>
                <a:srgbClr val="C00000"/>
              </a:solidFill>
              <a:round/>
            </a:ln>
            <a:effectLst/>
          </c:spPr>
          <c:marker>
            <c:symbol val="none"/>
          </c:marker>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noFill/>
                      <a:latin typeface="+mn-lt"/>
                      <a:ea typeface="+mn-ea"/>
                      <a:cs typeface="+mn-cs"/>
                    </a:defRPr>
                  </a:pPr>
                  <a:endParaRPr lang="es-EC"/>
                </a:p>
              </c:txPr>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noFill/>
                      <a:latin typeface="+mn-lt"/>
                      <a:ea typeface="+mn-ea"/>
                      <a:cs typeface="+mn-cs"/>
                    </a:defRPr>
                  </a:pPr>
                  <a:endParaRPr lang="es-EC"/>
                </a:p>
              </c:txPr>
              <c:showLegendKey val="0"/>
              <c:showVal val="1"/>
              <c:showCatName val="0"/>
              <c:showSerName val="0"/>
              <c:showPercent val="0"/>
              <c:showBubbleSize val="0"/>
            </c:dLbl>
            <c:dLbl>
              <c:idx val="2"/>
              <c:layout>
                <c:manualLayout>
                  <c:x val="0"/>
                  <c:y val="-2.7491408934707934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ln>
                        <a:noFill/>
                      </a:ln>
                      <a:solidFill>
                        <a:srgbClr val="C00000"/>
                      </a:solidFill>
                      <a:latin typeface="+mn-lt"/>
                      <a:ea typeface="+mn-ea"/>
                      <a:cs typeface="+mn-cs"/>
                    </a:defRPr>
                  </a:pPr>
                  <a:endParaRPr lang="es-EC"/>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A1F-4565-A8E2-5183EAB70835}"/>
                </c:ext>
                <c:ext xmlns:c15="http://schemas.microsoft.com/office/drawing/2012/chart" uri="{CE6537A1-D6FC-4f65-9D91-7224C49458BB}">
                  <c15:layout/>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noFill/>
                      <a:latin typeface="+mn-lt"/>
                      <a:ea typeface="+mn-ea"/>
                      <a:cs typeface="+mn-cs"/>
                    </a:defRPr>
                  </a:pPr>
                  <a:endParaRPr lang="es-EC"/>
                </a:p>
              </c:txPr>
              <c:showLegendKey val="0"/>
              <c:showVal val="1"/>
              <c:showCatName val="0"/>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noFill/>
                      <a:latin typeface="+mn-lt"/>
                      <a:ea typeface="+mn-ea"/>
                      <a:cs typeface="+mn-cs"/>
                    </a:defRPr>
                  </a:pPr>
                  <a:endParaRPr lang="es-EC"/>
                </a:p>
              </c:txP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12700" cap="flat" cmpd="sng" algn="ctr">
                      <a:solidFill>
                        <a:srgbClr val="C00000"/>
                      </a:solidFill>
                      <a:round/>
                    </a:ln>
                    <a:effectLst/>
                  </c:spPr>
                </c15:leaderLines>
              </c:ext>
            </c:extLst>
          </c:dLbls>
          <c:cat>
            <c:strRef>
              <c:f>'1ra opción -preparacion'!$A$19:$A$23</c:f>
              <c:strCache>
                <c:ptCount val="5"/>
                <c:pt idx="0">
                  <c:v>optometría</c:v>
                </c:pt>
                <c:pt idx="1">
                  <c:v>lab clínico</c:v>
                </c:pt>
                <c:pt idx="2">
                  <c:v>enfermería</c:v>
                </c:pt>
                <c:pt idx="3">
                  <c:v>nutrición</c:v>
                </c:pt>
                <c:pt idx="4">
                  <c:v>medicina</c:v>
                </c:pt>
              </c:strCache>
            </c:strRef>
          </c:cat>
          <c:val>
            <c:numRef>
              <c:f>'1ra opción -preparacion'!$D$19:$D$23</c:f>
              <c:numCache>
                <c:formatCode>General</c:formatCode>
                <c:ptCount val="5"/>
                <c:pt idx="0">
                  <c:v>85</c:v>
                </c:pt>
                <c:pt idx="1">
                  <c:v>85</c:v>
                </c:pt>
                <c:pt idx="2">
                  <c:v>85</c:v>
                </c:pt>
                <c:pt idx="3">
                  <c:v>85</c:v>
                </c:pt>
                <c:pt idx="4">
                  <c:v>85</c:v>
                </c:pt>
              </c:numCache>
            </c:numRef>
          </c:val>
          <c:smooth val="0"/>
          <c:extLst xmlns:c16r2="http://schemas.microsoft.com/office/drawing/2015/06/chart">
            <c:ext xmlns:c16="http://schemas.microsoft.com/office/drawing/2014/chart" uri="{C3380CC4-5D6E-409C-BE32-E72D297353CC}">
              <c16:uniqueId val="{00000007-5A1F-4565-A8E2-5183EAB70835}"/>
            </c:ext>
          </c:extLst>
        </c:ser>
        <c:dLbls>
          <c:showLegendKey val="0"/>
          <c:showVal val="1"/>
          <c:showCatName val="0"/>
          <c:showSerName val="0"/>
          <c:showPercent val="0"/>
          <c:showBubbleSize val="0"/>
        </c:dLbls>
        <c:marker val="1"/>
        <c:smooth val="0"/>
        <c:axId val="227202176"/>
        <c:axId val="227203712"/>
      </c:lineChart>
      <c:catAx>
        <c:axId val="22720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227203712"/>
        <c:crosses val="autoZero"/>
        <c:auto val="1"/>
        <c:lblAlgn val="ctr"/>
        <c:lblOffset val="100"/>
        <c:noMultiLvlLbl val="0"/>
      </c:catAx>
      <c:valAx>
        <c:axId val="22720371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227202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0"/>
          <c:order val="0"/>
          <c:tx>
            <c:strRef>
              <c:f>'1ra opción -preparacion'!$B$32</c:f>
              <c:strCache>
                <c:ptCount val="1"/>
                <c:pt idx="0">
                  <c:v>1ra opción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'1ra opción -preparacion'!$A$33:$A$39</c:f>
              <c:strCache>
                <c:ptCount val="7"/>
                <c:pt idx="0">
                  <c:v>Q y B</c:v>
                </c:pt>
                <c:pt idx="1">
                  <c:v>agroindustria</c:v>
                </c:pt>
                <c:pt idx="2">
                  <c:v>agrícola</c:v>
                </c:pt>
                <c:pt idx="3">
                  <c:v>veterinaria</c:v>
                </c:pt>
                <c:pt idx="4">
                  <c:v>acuicultura</c:v>
                </c:pt>
                <c:pt idx="5">
                  <c:v>agronomía</c:v>
                </c:pt>
                <c:pt idx="6">
                  <c:v>zootecnia</c:v>
                </c:pt>
              </c:strCache>
            </c:strRef>
          </c:cat>
          <c:val>
            <c:numRef>
              <c:f>'1ra opción -preparacion'!$B$33:$B$39</c:f>
              <c:numCache>
                <c:formatCode>General</c:formatCode>
                <c:ptCount val="7"/>
                <c:pt idx="0">
                  <c:v>29</c:v>
                </c:pt>
                <c:pt idx="1">
                  <c:v>32</c:v>
                </c:pt>
                <c:pt idx="2">
                  <c:v>39</c:v>
                </c:pt>
                <c:pt idx="3">
                  <c:v>40</c:v>
                </c:pt>
                <c:pt idx="4">
                  <c:v>43</c:v>
                </c:pt>
                <c:pt idx="5">
                  <c:v>58</c:v>
                </c:pt>
                <c:pt idx="6">
                  <c:v>70</c:v>
                </c:pt>
              </c:numCache>
            </c:numRef>
          </c:val>
          <c:extLst xmlns:c16r2="http://schemas.microsoft.com/office/drawing/2015/06/chart">
            <c:ext xmlns:c16="http://schemas.microsoft.com/office/drawing/2014/chart" uri="{C3380CC4-5D6E-409C-BE32-E72D297353CC}">
              <c16:uniqueId val="{00000000-31B3-4DDD-8E7C-CBE8419D6E03}"/>
            </c:ext>
          </c:extLst>
        </c:ser>
        <c:ser>
          <c:idx val="1"/>
          <c:order val="1"/>
          <c:tx>
            <c:strRef>
              <c:f>'1ra opción -preparacion'!$C$32</c:f>
              <c:strCache>
                <c:ptCount val="1"/>
                <c:pt idx="0">
                  <c:v>% de estudiantes que se prepararon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'1ra opción -preparacion'!$A$33:$A$39</c:f>
              <c:strCache>
                <c:ptCount val="7"/>
                <c:pt idx="0">
                  <c:v>Q y B</c:v>
                </c:pt>
                <c:pt idx="1">
                  <c:v>agroindustria</c:v>
                </c:pt>
                <c:pt idx="2">
                  <c:v>agrícola</c:v>
                </c:pt>
                <c:pt idx="3">
                  <c:v>veterinaria</c:v>
                </c:pt>
                <c:pt idx="4">
                  <c:v>acuicultura</c:v>
                </c:pt>
                <c:pt idx="5">
                  <c:v>agronomía</c:v>
                </c:pt>
                <c:pt idx="6">
                  <c:v>zootecnia</c:v>
                </c:pt>
              </c:strCache>
            </c:strRef>
          </c:cat>
          <c:val>
            <c:numRef>
              <c:f>'1ra opción -preparacion'!$C$33:$C$39</c:f>
              <c:numCache>
                <c:formatCode>General</c:formatCode>
                <c:ptCount val="7"/>
                <c:pt idx="0">
                  <c:v>66</c:v>
                </c:pt>
                <c:pt idx="1">
                  <c:v>55</c:v>
                </c:pt>
                <c:pt idx="2">
                  <c:v>66</c:v>
                </c:pt>
                <c:pt idx="3">
                  <c:v>67</c:v>
                </c:pt>
                <c:pt idx="4">
                  <c:v>70</c:v>
                </c:pt>
                <c:pt idx="5">
                  <c:v>50</c:v>
                </c:pt>
                <c:pt idx="6">
                  <c:v>80</c:v>
                </c:pt>
              </c:numCache>
            </c:numRef>
          </c:val>
          <c:extLst xmlns:c16r2="http://schemas.microsoft.com/office/drawing/2015/06/chart">
            <c:ext xmlns:c16="http://schemas.microsoft.com/office/drawing/2014/chart" uri="{C3380CC4-5D6E-409C-BE32-E72D297353CC}">
              <c16:uniqueId val="{00000001-31B3-4DDD-8E7C-CBE8419D6E03}"/>
            </c:ext>
          </c:extLst>
        </c:ser>
        <c:dLbls>
          <c:showLegendKey val="0"/>
          <c:showVal val="1"/>
          <c:showCatName val="0"/>
          <c:showSerName val="0"/>
          <c:showPercent val="0"/>
          <c:showBubbleSize val="0"/>
        </c:dLbls>
        <c:gapWidth val="150"/>
        <c:overlap val="-25"/>
        <c:axId val="300378752"/>
        <c:axId val="300564864"/>
      </c:barChart>
      <c:lineChart>
        <c:grouping val="standard"/>
        <c:varyColors val="0"/>
        <c:ser>
          <c:idx val="2"/>
          <c:order val="2"/>
          <c:tx>
            <c:strRef>
              <c:f>'1ra opción -preparacion'!$D$32</c:f>
              <c:strCache>
                <c:ptCount val="1"/>
                <c:pt idx="0">
                  <c:v>promedio preparación</c:v>
                </c:pt>
              </c:strCache>
            </c:strRef>
          </c:tx>
          <c:spPr>
            <a:ln w="28575" cap="rnd">
              <a:solidFill>
                <a:srgbClr val="C00000"/>
              </a:solidFill>
              <a:round/>
            </a:ln>
            <a:effectLst/>
          </c:spPr>
          <c:marker>
            <c:symbol val="none"/>
          </c:marker>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noFill/>
                      <a:latin typeface="+mn-lt"/>
                      <a:ea typeface="+mn-ea"/>
                      <a:cs typeface="+mn-cs"/>
                    </a:defRPr>
                  </a:pPr>
                  <a:endParaRPr lang="es-EC"/>
                </a:p>
              </c:txPr>
              <c:showLegendKey val="0"/>
              <c:showVal val="1"/>
              <c:showCatName val="0"/>
              <c:showSerName val="0"/>
              <c:showPercent val="0"/>
              <c:showBubbleSize val="0"/>
            </c:dLbl>
            <c:dLbl>
              <c:idx val="1"/>
              <c:layout>
                <c:manualLayout>
                  <c:x val="0"/>
                  <c:y val="-4.1431261770244858E-2"/>
                </c:manualLayout>
              </c:layout>
              <c:tx>
                <c:rich>
                  <a:bodyPr rot="0" spcFirstLastPara="1" vertOverflow="ellipsis" vert="horz" wrap="square" lIns="38100" tIns="19050" rIns="38100" bIns="19050" anchor="ctr" anchorCtr="1">
                    <a:spAutoFit/>
                  </a:bodyPr>
                  <a:lstStyle/>
                  <a:p>
                    <a:pPr>
                      <a:defRPr sz="1100" b="1" i="0" u="none" strike="noStrike" kern="1200" baseline="0">
                        <a:ln>
                          <a:noFill/>
                        </a:ln>
                        <a:solidFill>
                          <a:srgbClr val="C00000"/>
                        </a:solidFill>
                        <a:latin typeface="+mn-lt"/>
                        <a:ea typeface="+mn-ea"/>
                        <a:cs typeface="+mn-cs"/>
                      </a:defRPr>
                    </a:pPr>
                    <a:fld id="{40D4C434-5A5A-4DE0-883B-1D23CFDC1E1F}" type="VALUE">
                      <a:rPr lang="en-US" sz="1100" b="1">
                        <a:ln>
                          <a:noFill/>
                        </a:ln>
                        <a:solidFill>
                          <a:srgbClr val="C00000"/>
                        </a:solidFill>
                      </a:rPr>
                      <a:pPr>
                        <a:defRPr sz="1100" b="1" i="0" u="none" strike="noStrike" kern="1200" baseline="0">
                          <a:ln>
                            <a:noFill/>
                          </a:ln>
                          <a:solidFill>
                            <a:srgbClr val="C00000"/>
                          </a:solidFill>
                          <a:latin typeface="+mn-lt"/>
                          <a:ea typeface="+mn-ea"/>
                          <a:cs typeface="+mn-cs"/>
                        </a:defRPr>
                      </a:pPr>
                      <a:t>[VALOR]</a:t>
                    </a:fld>
                    <a:endParaRPr lang="es-EC"/>
                  </a:p>
                </c:rich>
              </c:tx>
              <c:spPr>
                <a:noFill/>
                <a:ln>
                  <a:noFill/>
                </a:ln>
                <a:effectLst/>
              </c:sp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1B3-4DDD-8E7C-CBE8419D6E03}"/>
                </c:ext>
                <c:ext xmlns:c15="http://schemas.microsoft.com/office/drawing/2012/chart" uri="{CE6537A1-D6FC-4f65-9D91-7224C49458BB}">
                  <c15:layout/>
                  <c15:dlblFieldTable/>
                  <c15:showDataLabelsRange val="0"/>
                </c:ext>
              </c:extLst>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noFill/>
                      <a:latin typeface="+mn-lt"/>
                      <a:ea typeface="+mn-ea"/>
                      <a:cs typeface="+mn-cs"/>
                    </a:defRPr>
                  </a:pPr>
                  <a:endParaRPr lang="es-EC"/>
                </a:p>
              </c:txPr>
              <c:showLegendKey val="0"/>
              <c:showVal val="1"/>
              <c:showCatName val="0"/>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noFill/>
                      <a:latin typeface="+mn-lt"/>
                      <a:ea typeface="+mn-ea"/>
                      <a:cs typeface="+mn-cs"/>
                    </a:defRPr>
                  </a:pPr>
                  <a:endParaRPr lang="es-EC"/>
                </a:p>
              </c:txPr>
              <c:showLegendKey val="0"/>
              <c:showVal val="1"/>
              <c:showCatName val="0"/>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noFill/>
                      <a:latin typeface="+mn-lt"/>
                      <a:ea typeface="+mn-ea"/>
                      <a:cs typeface="+mn-cs"/>
                    </a:defRPr>
                  </a:pPr>
                  <a:endParaRPr lang="es-EC"/>
                </a:p>
              </c:txPr>
              <c:showLegendKey val="0"/>
              <c:showVal val="1"/>
              <c:showCatName val="0"/>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noFill/>
                      <a:latin typeface="+mn-lt"/>
                      <a:ea typeface="+mn-ea"/>
                      <a:cs typeface="+mn-cs"/>
                    </a:defRPr>
                  </a:pPr>
                  <a:endParaRPr lang="es-EC"/>
                </a:p>
              </c:txPr>
              <c:showLegendKey val="0"/>
              <c:showVal val="1"/>
              <c:showCatName val="0"/>
              <c:showSerName val="0"/>
              <c:showPercent val="0"/>
              <c:showBubbleSize val="0"/>
            </c:dLbl>
            <c:dLbl>
              <c:idx val="6"/>
              <c:layout>
                <c:manualLayout>
                  <c:x val="2.4783147459727386E-3"/>
                  <c:y val="-7.5329566854990581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noFill/>
                      <a:latin typeface="+mn-lt"/>
                      <a:ea typeface="+mn-ea"/>
                      <a:cs typeface="+mn-cs"/>
                    </a:defRPr>
                  </a:pPr>
                  <a:endParaRPr lang="es-EC"/>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31B3-4DDD-8E7C-CBE8419D6E03}"/>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12700" cap="flat" cmpd="sng" algn="ctr">
                      <a:solidFill>
                        <a:srgbClr val="C00000"/>
                      </a:solidFill>
                      <a:round/>
                    </a:ln>
                    <a:effectLst/>
                  </c:spPr>
                </c15:leaderLines>
              </c:ext>
            </c:extLst>
          </c:dLbls>
          <c:cat>
            <c:strRef>
              <c:f>'1ra opción -preparacion'!$A$33:$A$39</c:f>
              <c:strCache>
                <c:ptCount val="7"/>
                <c:pt idx="0">
                  <c:v>Q y B</c:v>
                </c:pt>
                <c:pt idx="1">
                  <c:v>agroindustria</c:v>
                </c:pt>
                <c:pt idx="2">
                  <c:v>agrícola</c:v>
                </c:pt>
                <c:pt idx="3">
                  <c:v>veterinaria</c:v>
                </c:pt>
                <c:pt idx="4">
                  <c:v>acuicultura</c:v>
                </c:pt>
                <c:pt idx="5">
                  <c:v>agronomía</c:v>
                </c:pt>
                <c:pt idx="6">
                  <c:v>zootecnia</c:v>
                </c:pt>
              </c:strCache>
            </c:strRef>
          </c:cat>
          <c:val>
            <c:numRef>
              <c:f>'1ra opción -preparacion'!$D$33:$D$39</c:f>
              <c:numCache>
                <c:formatCode>0</c:formatCode>
                <c:ptCount val="7"/>
                <c:pt idx="0">
                  <c:v>64.857142857142861</c:v>
                </c:pt>
                <c:pt idx="1">
                  <c:v>64.857142857142861</c:v>
                </c:pt>
                <c:pt idx="2">
                  <c:v>64.857142857142861</c:v>
                </c:pt>
                <c:pt idx="3">
                  <c:v>64.857142857142861</c:v>
                </c:pt>
                <c:pt idx="4">
                  <c:v>64.857142857142861</c:v>
                </c:pt>
                <c:pt idx="5">
                  <c:v>64.857142857142861</c:v>
                </c:pt>
                <c:pt idx="6">
                  <c:v>64.857142857142861</c:v>
                </c:pt>
              </c:numCache>
            </c:numRef>
          </c:val>
          <c:smooth val="0"/>
          <c:extLst xmlns:c16r2="http://schemas.microsoft.com/office/drawing/2015/06/chart">
            <c:ext xmlns:c16="http://schemas.microsoft.com/office/drawing/2014/chart" uri="{C3380CC4-5D6E-409C-BE32-E72D297353CC}">
              <c16:uniqueId val="{00000009-31B3-4DDD-8E7C-CBE8419D6E03}"/>
            </c:ext>
          </c:extLst>
        </c:ser>
        <c:dLbls>
          <c:showLegendKey val="0"/>
          <c:showVal val="1"/>
          <c:showCatName val="0"/>
          <c:showSerName val="0"/>
          <c:showPercent val="0"/>
          <c:showBubbleSize val="0"/>
        </c:dLbls>
        <c:marker val="1"/>
        <c:smooth val="0"/>
        <c:axId val="300378752"/>
        <c:axId val="300564864"/>
      </c:lineChart>
      <c:catAx>
        <c:axId val="30037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300564864"/>
        <c:crosses val="autoZero"/>
        <c:auto val="1"/>
        <c:lblAlgn val="ctr"/>
        <c:lblOffset val="100"/>
        <c:noMultiLvlLbl val="0"/>
      </c:catAx>
      <c:valAx>
        <c:axId val="300564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30037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'praración en las escuelas'!$B$1</c:f>
              <c:strCache>
                <c:ptCount val="1"/>
                <c:pt idx="0">
                  <c:v>se prearón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'praración en las escuelas'!$A$2:$A$13</c:f>
              <c:strCache>
                <c:ptCount val="12"/>
                <c:pt idx="0">
                  <c:v>agronomía</c:v>
                </c:pt>
                <c:pt idx="1">
                  <c:v>agroindustria</c:v>
                </c:pt>
                <c:pt idx="2">
                  <c:v>Q y B</c:v>
                </c:pt>
                <c:pt idx="3">
                  <c:v>veterinaria</c:v>
                </c:pt>
                <c:pt idx="4">
                  <c:v>acuicultura</c:v>
                </c:pt>
                <c:pt idx="5">
                  <c:v>enfermería</c:v>
                </c:pt>
                <c:pt idx="6">
                  <c:v>agrícola</c:v>
                </c:pt>
                <c:pt idx="7">
                  <c:v>zootécnia</c:v>
                </c:pt>
                <c:pt idx="8">
                  <c:v>optometría</c:v>
                </c:pt>
                <c:pt idx="9">
                  <c:v>nutrición</c:v>
                </c:pt>
                <c:pt idx="10">
                  <c:v>lab clínico</c:v>
                </c:pt>
                <c:pt idx="11">
                  <c:v>medicina</c:v>
                </c:pt>
              </c:strCache>
            </c:strRef>
          </c:cat>
          <c:val>
            <c:numRef>
              <c:f>'praración en las escuelas'!$B$2:$B$13</c:f>
              <c:numCache>
                <c:formatCode>General</c:formatCode>
                <c:ptCount val="12"/>
                <c:pt idx="0">
                  <c:v>50</c:v>
                </c:pt>
                <c:pt idx="1">
                  <c:v>55</c:v>
                </c:pt>
                <c:pt idx="2">
                  <c:v>66</c:v>
                </c:pt>
                <c:pt idx="3">
                  <c:v>67</c:v>
                </c:pt>
                <c:pt idx="4">
                  <c:v>70</c:v>
                </c:pt>
                <c:pt idx="5">
                  <c:v>74</c:v>
                </c:pt>
                <c:pt idx="6">
                  <c:v>77</c:v>
                </c:pt>
                <c:pt idx="7">
                  <c:v>80</c:v>
                </c:pt>
                <c:pt idx="8">
                  <c:v>83</c:v>
                </c:pt>
                <c:pt idx="9">
                  <c:v>85</c:v>
                </c:pt>
                <c:pt idx="10">
                  <c:v>91</c:v>
                </c:pt>
                <c:pt idx="11">
                  <c:v>92</c:v>
                </c:pt>
              </c:numCache>
            </c:numRef>
          </c:val>
          <c:extLst xmlns:c16r2="http://schemas.microsoft.com/office/drawing/2015/06/chart">
            <c:ext xmlns:c16="http://schemas.microsoft.com/office/drawing/2014/chart" uri="{C3380CC4-5D6E-409C-BE32-E72D297353CC}">
              <c16:uniqueId val="{00000000-7C37-452C-AB3D-76AC43565A51}"/>
            </c:ext>
          </c:extLst>
        </c:ser>
        <c:ser>
          <c:idx val="1"/>
          <c:order val="1"/>
          <c:tx>
            <c:strRef>
              <c:f>'praración en las escuelas'!$C$1</c:f>
              <c:strCache>
                <c:ptCount val="1"/>
                <c:pt idx="0">
                  <c:v>preparación en escuela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'praración en las escuelas'!$A$2:$A$13</c:f>
              <c:strCache>
                <c:ptCount val="12"/>
                <c:pt idx="0">
                  <c:v>agronomía</c:v>
                </c:pt>
                <c:pt idx="1">
                  <c:v>agroindustria</c:v>
                </c:pt>
                <c:pt idx="2">
                  <c:v>Q y B</c:v>
                </c:pt>
                <c:pt idx="3">
                  <c:v>veterinaria</c:v>
                </c:pt>
                <c:pt idx="4">
                  <c:v>acuicultura</c:v>
                </c:pt>
                <c:pt idx="5">
                  <c:v>enfermería</c:v>
                </c:pt>
                <c:pt idx="6">
                  <c:v>agrícola</c:v>
                </c:pt>
                <c:pt idx="7">
                  <c:v>zootécnia</c:v>
                </c:pt>
                <c:pt idx="8">
                  <c:v>optometría</c:v>
                </c:pt>
                <c:pt idx="9">
                  <c:v>nutrición</c:v>
                </c:pt>
                <c:pt idx="10">
                  <c:v>lab clínico</c:v>
                </c:pt>
                <c:pt idx="11">
                  <c:v>medicina</c:v>
                </c:pt>
              </c:strCache>
            </c:strRef>
          </c:cat>
          <c:val>
            <c:numRef>
              <c:f>'praración en las escuelas'!$C$2:$C$13</c:f>
              <c:numCache>
                <c:formatCode>General</c:formatCode>
                <c:ptCount val="12"/>
                <c:pt idx="0">
                  <c:v>58</c:v>
                </c:pt>
                <c:pt idx="1">
                  <c:v>31</c:v>
                </c:pt>
                <c:pt idx="2">
                  <c:v>33</c:v>
                </c:pt>
                <c:pt idx="3">
                  <c:v>45</c:v>
                </c:pt>
                <c:pt idx="4">
                  <c:v>50</c:v>
                </c:pt>
                <c:pt idx="5">
                  <c:v>44</c:v>
                </c:pt>
                <c:pt idx="6">
                  <c:v>36</c:v>
                </c:pt>
                <c:pt idx="7">
                  <c:v>22</c:v>
                </c:pt>
                <c:pt idx="8">
                  <c:v>30</c:v>
                </c:pt>
                <c:pt idx="9">
                  <c:v>25</c:v>
                </c:pt>
                <c:pt idx="10">
                  <c:v>27</c:v>
                </c:pt>
                <c:pt idx="11">
                  <c:v>22</c:v>
                </c:pt>
              </c:numCache>
            </c:numRef>
          </c:val>
          <c:extLst xmlns:c16r2="http://schemas.microsoft.com/office/drawing/2015/06/chart">
            <c:ext xmlns:c16="http://schemas.microsoft.com/office/drawing/2014/chart" uri="{C3380CC4-5D6E-409C-BE32-E72D297353CC}">
              <c16:uniqueId val="{00000001-7C37-452C-AB3D-76AC43565A51}"/>
            </c:ext>
          </c:extLst>
        </c:ser>
        <c:dLbls>
          <c:showLegendKey val="0"/>
          <c:showVal val="1"/>
          <c:showCatName val="0"/>
          <c:showSerName val="0"/>
          <c:showPercent val="0"/>
          <c:showBubbleSize val="0"/>
        </c:dLbls>
        <c:gapWidth val="219"/>
        <c:overlap val="-27"/>
        <c:axId val="300604032"/>
        <c:axId val="300712320"/>
      </c:barChart>
      <c:catAx>
        <c:axId val="30060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300712320"/>
        <c:crosses val="autoZero"/>
        <c:auto val="1"/>
        <c:lblAlgn val="ctr"/>
        <c:lblOffset val="100"/>
        <c:noMultiLvlLbl val="0"/>
      </c:catAx>
      <c:valAx>
        <c:axId val="300712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300604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Hoja6!$B$1</c:f>
              <c:strCache>
                <c:ptCount val="1"/>
                <c:pt idx="0">
                  <c:v>Preparación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Hoja6!$A$2:$A$13</c:f>
              <c:strCache>
                <c:ptCount val="12"/>
                <c:pt idx="0">
                  <c:v>agronomía</c:v>
                </c:pt>
                <c:pt idx="1">
                  <c:v>agroindustria</c:v>
                </c:pt>
                <c:pt idx="2">
                  <c:v>Q y B</c:v>
                </c:pt>
                <c:pt idx="3">
                  <c:v>agrícola</c:v>
                </c:pt>
                <c:pt idx="4">
                  <c:v>veterinaria</c:v>
                </c:pt>
                <c:pt idx="5">
                  <c:v>acuicultura</c:v>
                </c:pt>
                <c:pt idx="6">
                  <c:v>enfermería</c:v>
                </c:pt>
                <c:pt idx="7">
                  <c:v>zootécnia</c:v>
                </c:pt>
                <c:pt idx="8">
                  <c:v>optometría</c:v>
                </c:pt>
                <c:pt idx="9">
                  <c:v>nutrición</c:v>
                </c:pt>
                <c:pt idx="10">
                  <c:v>lab clínico</c:v>
                </c:pt>
                <c:pt idx="11">
                  <c:v>medicina</c:v>
                </c:pt>
              </c:strCache>
            </c:strRef>
          </c:cat>
          <c:val>
            <c:numRef>
              <c:f>Hoja6!$B$2:$B$13</c:f>
              <c:numCache>
                <c:formatCode>General</c:formatCode>
                <c:ptCount val="12"/>
                <c:pt idx="0">
                  <c:v>50</c:v>
                </c:pt>
                <c:pt idx="1">
                  <c:v>55</c:v>
                </c:pt>
                <c:pt idx="2">
                  <c:v>66</c:v>
                </c:pt>
                <c:pt idx="3">
                  <c:v>66</c:v>
                </c:pt>
                <c:pt idx="4">
                  <c:v>67</c:v>
                </c:pt>
                <c:pt idx="5">
                  <c:v>70</c:v>
                </c:pt>
                <c:pt idx="6">
                  <c:v>74</c:v>
                </c:pt>
                <c:pt idx="7">
                  <c:v>80</c:v>
                </c:pt>
                <c:pt idx="8">
                  <c:v>83</c:v>
                </c:pt>
                <c:pt idx="9">
                  <c:v>85</c:v>
                </c:pt>
                <c:pt idx="10">
                  <c:v>91</c:v>
                </c:pt>
                <c:pt idx="11">
                  <c:v>92</c:v>
                </c:pt>
              </c:numCache>
            </c:numRef>
          </c:val>
          <c:extLst xmlns:c16r2="http://schemas.microsoft.com/office/drawing/2015/06/chart">
            <c:ext xmlns:c16="http://schemas.microsoft.com/office/drawing/2014/chart" uri="{C3380CC4-5D6E-409C-BE32-E72D297353CC}">
              <c16:uniqueId val="{00000000-7772-4A3C-8D6A-D545F9015BED}"/>
            </c:ext>
          </c:extLst>
        </c:ser>
        <c:ser>
          <c:idx val="1"/>
          <c:order val="1"/>
          <c:tx>
            <c:strRef>
              <c:f>Hoja6!$C$1</c:f>
              <c:strCache>
                <c:ptCount val="1"/>
                <c:pt idx="0">
                  <c:v>Acuerdo con la carrera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Hoja6!$A$2:$A$13</c:f>
              <c:strCache>
                <c:ptCount val="12"/>
                <c:pt idx="0">
                  <c:v>agronomía</c:v>
                </c:pt>
                <c:pt idx="1">
                  <c:v>agroindustria</c:v>
                </c:pt>
                <c:pt idx="2">
                  <c:v>Q y B</c:v>
                </c:pt>
                <c:pt idx="3">
                  <c:v>agrícola</c:v>
                </c:pt>
                <c:pt idx="4">
                  <c:v>veterinaria</c:v>
                </c:pt>
                <c:pt idx="5">
                  <c:v>acuicultura</c:v>
                </c:pt>
                <c:pt idx="6">
                  <c:v>enfermería</c:v>
                </c:pt>
                <c:pt idx="7">
                  <c:v>zootécnia</c:v>
                </c:pt>
                <c:pt idx="8">
                  <c:v>optometría</c:v>
                </c:pt>
                <c:pt idx="9">
                  <c:v>nutrición</c:v>
                </c:pt>
                <c:pt idx="10">
                  <c:v>lab clínico</c:v>
                </c:pt>
                <c:pt idx="11">
                  <c:v>medicina</c:v>
                </c:pt>
              </c:strCache>
            </c:strRef>
          </c:cat>
          <c:val>
            <c:numRef>
              <c:f>Hoja6!$C$2:$C$13</c:f>
              <c:numCache>
                <c:formatCode>General</c:formatCode>
                <c:ptCount val="12"/>
                <c:pt idx="0">
                  <c:v>66</c:v>
                </c:pt>
                <c:pt idx="1">
                  <c:v>68</c:v>
                </c:pt>
                <c:pt idx="2">
                  <c:v>65</c:v>
                </c:pt>
                <c:pt idx="3">
                  <c:v>58</c:v>
                </c:pt>
                <c:pt idx="4">
                  <c:v>75</c:v>
                </c:pt>
                <c:pt idx="5">
                  <c:v>78</c:v>
                </c:pt>
                <c:pt idx="6">
                  <c:v>59</c:v>
                </c:pt>
                <c:pt idx="7">
                  <c:v>89</c:v>
                </c:pt>
                <c:pt idx="8">
                  <c:v>76</c:v>
                </c:pt>
                <c:pt idx="9">
                  <c:v>90</c:v>
                </c:pt>
                <c:pt idx="10">
                  <c:v>100</c:v>
                </c:pt>
                <c:pt idx="11">
                  <c:v>97</c:v>
                </c:pt>
              </c:numCache>
            </c:numRef>
          </c:val>
          <c:extLst xmlns:c16r2="http://schemas.microsoft.com/office/drawing/2015/06/chart">
            <c:ext xmlns:c16="http://schemas.microsoft.com/office/drawing/2014/chart" uri="{C3380CC4-5D6E-409C-BE32-E72D297353CC}">
              <c16:uniqueId val="{00000001-7772-4A3C-8D6A-D545F9015BED}"/>
            </c:ext>
          </c:extLst>
        </c:ser>
        <c:dLbls>
          <c:showLegendKey val="0"/>
          <c:showVal val="1"/>
          <c:showCatName val="0"/>
          <c:showSerName val="0"/>
          <c:showPercent val="0"/>
          <c:showBubbleSize val="0"/>
        </c:dLbls>
        <c:gapWidth val="219"/>
        <c:overlap val="-27"/>
        <c:axId val="320362752"/>
        <c:axId val="320401408"/>
      </c:barChart>
      <c:catAx>
        <c:axId val="320362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320401408"/>
        <c:crosses val="autoZero"/>
        <c:auto val="1"/>
        <c:lblAlgn val="ctr"/>
        <c:lblOffset val="100"/>
        <c:noMultiLvlLbl val="0"/>
      </c:catAx>
      <c:valAx>
        <c:axId val="320401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320362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C"/>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'metodología-sats'!$B$1</c:f>
              <c:strCache>
                <c:ptCount val="1"/>
                <c:pt idx="0">
                  <c:v>Metodología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'metodología-sats'!$A$2:$A$13</c:f>
              <c:strCache>
                <c:ptCount val="12"/>
                <c:pt idx="0">
                  <c:v>enfermería</c:v>
                </c:pt>
                <c:pt idx="1">
                  <c:v>lab clínico</c:v>
                </c:pt>
                <c:pt idx="2">
                  <c:v>optometría</c:v>
                </c:pt>
                <c:pt idx="3">
                  <c:v>Q y B</c:v>
                </c:pt>
                <c:pt idx="4">
                  <c:v>acuicultura</c:v>
                </c:pt>
                <c:pt idx="5">
                  <c:v>nutrición</c:v>
                </c:pt>
                <c:pt idx="6">
                  <c:v>medicina</c:v>
                </c:pt>
                <c:pt idx="7">
                  <c:v>zootecnia</c:v>
                </c:pt>
                <c:pt idx="8">
                  <c:v>veterinaria</c:v>
                </c:pt>
                <c:pt idx="9">
                  <c:v>agroindustria</c:v>
                </c:pt>
                <c:pt idx="10">
                  <c:v>agronomía</c:v>
                </c:pt>
                <c:pt idx="11">
                  <c:v>agrícola</c:v>
                </c:pt>
              </c:strCache>
            </c:strRef>
          </c:cat>
          <c:val>
            <c:numRef>
              <c:f>'metodología-sats'!$B$2:$B$13</c:f>
              <c:numCache>
                <c:formatCode>General</c:formatCode>
                <c:ptCount val="12"/>
                <c:pt idx="0">
                  <c:v>50</c:v>
                </c:pt>
                <c:pt idx="1">
                  <c:v>63</c:v>
                </c:pt>
                <c:pt idx="2">
                  <c:v>43</c:v>
                </c:pt>
                <c:pt idx="3">
                  <c:v>54</c:v>
                </c:pt>
                <c:pt idx="4">
                  <c:v>57</c:v>
                </c:pt>
                <c:pt idx="5">
                  <c:v>65</c:v>
                </c:pt>
                <c:pt idx="6">
                  <c:v>55</c:v>
                </c:pt>
                <c:pt idx="7">
                  <c:v>58</c:v>
                </c:pt>
                <c:pt idx="8">
                  <c:v>60</c:v>
                </c:pt>
                <c:pt idx="9">
                  <c:v>82</c:v>
                </c:pt>
                <c:pt idx="10">
                  <c:v>75</c:v>
                </c:pt>
                <c:pt idx="11">
                  <c:v>81</c:v>
                </c:pt>
              </c:numCache>
            </c:numRef>
          </c:val>
          <c:extLst xmlns:c16r2="http://schemas.microsoft.com/office/drawing/2015/06/chart">
            <c:ext xmlns:c16="http://schemas.microsoft.com/office/drawing/2014/chart" uri="{C3380CC4-5D6E-409C-BE32-E72D297353CC}">
              <c16:uniqueId val="{00000000-8809-405C-A7D1-66C3831DDAC9}"/>
            </c:ext>
          </c:extLst>
        </c:ser>
        <c:ser>
          <c:idx val="1"/>
          <c:order val="1"/>
          <c:tx>
            <c:strRef>
              <c:f>'metodología-sats'!$C$1</c:f>
              <c:strCache>
                <c:ptCount val="1"/>
                <c:pt idx="0">
                  <c:v>Satisfacción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C"/>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'metodología-sats'!$A$2:$A$13</c:f>
              <c:strCache>
                <c:ptCount val="12"/>
                <c:pt idx="0">
                  <c:v>enfermería</c:v>
                </c:pt>
                <c:pt idx="1">
                  <c:v>lab clínico</c:v>
                </c:pt>
                <c:pt idx="2">
                  <c:v>optometría</c:v>
                </c:pt>
                <c:pt idx="3">
                  <c:v>Q y B</c:v>
                </c:pt>
                <c:pt idx="4">
                  <c:v>acuicultura</c:v>
                </c:pt>
                <c:pt idx="5">
                  <c:v>nutrición</c:v>
                </c:pt>
                <c:pt idx="6">
                  <c:v>medicina</c:v>
                </c:pt>
                <c:pt idx="7">
                  <c:v>zootecnia</c:v>
                </c:pt>
                <c:pt idx="8">
                  <c:v>veterinaria</c:v>
                </c:pt>
                <c:pt idx="9">
                  <c:v>agroindustria</c:v>
                </c:pt>
                <c:pt idx="10">
                  <c:v>agronomía</c:v>
                </c:pt>
                <c:pt idx="11">
                  <c:v>agrícola</c:v>
                </c:pt>
              </c:strCache>
            </c:strRef>
          </c:cat>
          <c:val>
            <c:numRef>
              <c:f>'metodología-sats'!$C$2:$C$13</c:f>
              <c:numCache>
                <c:formatCode>General</c:formatCode>
                <c:ptCount val="12"/>
                <c:pt idx="0">
                  <c:v>27</c:v>
                </c:pt>
                <c:pt idx="1">
                  <c:v>36</c:v>
                </c:pt>
                <c:pt idx="2">
                  <c:v>36</c:v>
                </c:pt>
                <c:pt idx="3">
                  <c:v>47</c:v>
                </c:pt>
                <c:pt idx="4">
                  <c:v>57</c:v>
                </c:pt>
                <c:pt idx="5">
                  <c:v>60</c:v>
                </c:pt>
                <c:pt idx="6">
                  <c:v>61</c:v>
                </c:pt>
                <c:pt idx="7">
                  <c:v>61</c:v>
                </c:pt>
                <c:pt idx="8">
                  <c:v>72</c:v>
                </c:pt>
                <c:pt idx="9">
                  <c:v>73</c:v>
                </c:pt>
                <c:pt idx="10">
                  <c:v>75</c:v>
                </c:pt>
                <c:pt idx="11">
                  <c:v>81</c:v>
                </c:pt>
              </c:numCache>
            </c:numRef>
          </c:val>
          <c:extLst xmlns:c16r2="http://schemas.microsoft.com/office/drawing/2015/06/chart">
            <c:ext xmlns:c16="http://schemas.microsoft.com/office/drawing/2014/chart" uri="{C3380CC4-5D6E-409C-BE32-E72D297353CC}">
              <c16:uniqueId val="{00000001-8809-405C-A7D1-66C3831DDAC9}"/>
            </c:ext>
          </c:extLst>
        </c:ser>
        <c:dLbls>
          <c:showLegendKey val="0"/>
          <c:showVal val="1"/>
          <c:showCatName val="0"/>
          <c:showSerName val="0"/>
          <c:showPercent val="0"/>
          <c:showBubbleSize val="0"/>
        </c:dLbls>
        <c:gapWidth val="219"/>
        <c:overlap val="-27"/>
        <c:axId val="321664896"/>
        <c:axId val="321666432"/>
      </c:barChart>
      <c:catAx>
        <c:axId val="321664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321666432"/>
        <c:crosses val="autoZero"/>
        <c:auto val="1"/>
        <c:lblAlgn val="ctr"/>
        <c:lblOffset val="100"/>
        <c:noMultiLvlLbl val="0"/>
      </c:catAx>
      <c:valAx>
        <c:axId val="321666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321664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C"/>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Pér13</b:Tag>
    <b:SourceType>ElectronicSource</b:SourceType>
    <b:Guid>{78A2AB72-69D7-416A-A927-8BD968A16E85}</b:Guid>
    <b:Author>
      <b:Author>
        <b:NameList>
          <b:Person>
            <b:Last>Pérez Gómes</b:Last>
            <b:First>Ángel</b:First>
          </b:Person>
        </b:NameList>
      </b:Author>
    </b:Author>
    <b:Title>¿Qué Docente? ¿ Para qué Escuela?</b:Title>
    <b:Year>2013</b:Year>
    <b:City>Santiago de Chile</b:City>
    <b:StateProvince>San tiago de Chile</b:StateProvince>
    <b:CountryRegion>Chile</b:CountryRegion>
    <b:RefOrder>17</b:RefOrder>
  </b:Source>
  <b:Source>
    <b:Tag>Rev13</b:Tag>
    <b:SourceType>JournalArticle</b:SourceType>
    <b:Guid>{CF895FC5-EEC2-4374-BACE-46860CDFDFBA}</b:Guid>
    <b:Title>Revista Interuniversitaria de Formación del Profesorado</b:Title>
    <b:Year>2013</b:Year>
    <b:JournalName>Revista Interuniversitaria de Formación del Profesorado</b:JournalName>
    <b:Author>
      <b:Author>
        <b:NameList>
          <b:Person>
            <b:Last>Profesorado</b:Last>
            <b:First>Revista</b:First>
            <b:Middle>Interuniversitaria de Formación del</b:Middle>
          </b:Person>
        </b:NameList>
      </b:Author>
    </b:Author>
    <b:RefOrder>15</b:RefOrder>
  </b:Source>
  <b:Source>
    <b:Tag>Hen091</b:Tag>
    <b:SourceType>JournalArticle</b:SourceType>
    <b:Guid>{87AC1E6A-2B03-402A-8702-EC6564F938AD}</b:Guid>
    <b:Author>
      <b:Author>
        <b:NameList>
          <b:Person>
            <b:Last>Henao López</b:Last>
            <b:First>Gloria</b:First>
            <b:Middle>Cecilia</b:Middle>
          </b:Person>
        </b:NameList>
      </b:Author>
    </b:Author>
    <b:Title>Componentes psicopedagógicos</b:Title>
    <b:Year>2009</b:Year>
    <b:JournalName>Intervencion Psicopedagógica</b:JournalName>
    <b:RefOrder>29</b:RefOrder>
  </b:Source>
  <b:Source>
    <b:Tag>Riv09</b:Tag>
    <b:SourceType>JournalArticle</b:SourceType>
    <b:Guid>{72F7DE54-BD54-4B49-B4AC-887E0C1FFBB7}</b:Guid>
    <b:Author>
      <b:Author>
        <b:NameList>
          <b:Person>
            <b:Last>Rivas</b:Last>
            <b:First>Manuel</b:First>
          </b:Person>
        </b:NameList>
      </b:Author>
    </b:Author>
    <b:Title>Rivas. Manuel</b:Title>
    <b:JournalName>ISBN</b:JournalName>
    <b:Year>2009</b:Year>
    <b:RefOrder>30</b:RefOrder>
  </b:Source>
  <b:Source>
    <b:Tag>Cam09</b:Tag>
    <b:SourceType>Book</b:SourceType>
    <b:Guid>{3C52B2FC-DF24-460B-A3CA-379DD9C35170}</b:Guid>
    <b:Author>
      <b:Author>
        <b:NameList>
          <b:Person>
            <b:Last>Cambours de Donini</b:Last>
            <b:First>Ana</b:First>
            <b:Middle>María</b:Middle>
          </b:Person>
        </b:NameList>
      </b:Author>
    </b:Author>
    <b:Title>Universidad General</b:Title>
    <b:Year>2009</b:Year>
    <b:RefOrder>25</b:RefOrder>
  </b:Source>
  <b:Source>
    <b:Tag>Urq09</b:Tag>
    <b:SourceType>Book</b:SourceType>
    <b:Guid>{B2DDC88D-DDD2-4217-9DEF-AE48FFEB4DDC}</b:Guid>
    <b:Author>
      <b:Author>
        <b:NameList>
          <b:Person>
            <b:Last>Urquizar</b:Last>
            <b:First>López</b:First>
          </b:Person>
          <b:Person>
            <b:Last>Martínez</b:Last>
            <b:First>Sola</b:First>
          </b:Person>
        </b:NameList>
      </b:Author>
    </b:Author>
    <b:Title>Modelos Psicopedagógicos</b:Title>
    <b:Year>2009</b:Year>
    <b:JournalName>Modelos Psicopedagógicos</b:JournalName>
    <b:RefOrder>26</b:RefOrder>
  </b:Source>
  <b:Source>
    <b:Tag>Fei091</b:Tag>
    <b:SourceType>JournalArticle</b:SourceType>
    <b:Guid>{DB757210-B403-4606-B7D2-465CAFF00F6B}</b:Guid>
    <b:Author>
      <b:Author>
        <b:NameList>
          <b:Person>
            <b:Last>Feixas</b:Last>
            <b:First>Mónica</b:First>
          </b:Person>
        </b:NameList>
      </b:Author>
    </b:Author>
    <b:Title>Universidad Autónoma de Barcelona</b:Title>
    <b:Year>2009</b:Year>
    <b:JournalName>Universidad Autónoma de Barcelona</b:JournalName>
    <b:RefOrder>27</b:RefOrder>
  </b:Source>
  <b:Source>
    <b:Tag>Tob091</b:Tag>
    <b:SourceType>JournalArticle</b:SourceType>
    <b:Guid>{635D86CE-F38B-44F8-8181-1608D608416D}</b:Guid>
    <b:Author>
      <b:Author>
        <b:NameList>
          <b:Person>
            <b:Last>Tobón</b:Last>
          </b:Person>
        </b:NameList>
      </b:Author>
    </b:Author>
    <b:Title>Educación por Competencias</b:Title>
    <b:JournalName>Educación por Competencias</b:JournalName>
    <b:Year>2009</b:Year>
    <b:RefOrder>9</b:RefOrder>
  </b:Source>
  <b:Source>
    <b:Tag>Min111</b:Tag>
    <b:SourceType>Book</b:SourceType>
    <b:Guid>{59280C29-6FAE-425D-996C-017CC178F8B1}</b:Guid>
    <b:Author>
      <b:Author>
        <b:NameList>
          <b:Person>
            <b:Last>Ministerio</b:Last>
            <b:First>Educación</b:First>
          </b:Person>
        </b:NameList>
      </b:Author>
    </b:Author>
    <b:Title>Perfil de egreso del bachillerato general unnificado</b:Title>
    <b:Year>2011</b:Year>
    <b:RefOrder>28</b:RefOrder>
  </b:Source>
  <b:Source>
    <b:Tag>Ram13</b:Tag>
    <b:SourceType>JournalArticle</b:SourceType>
    <b:Guid>{DDB41079-D059-408F-956B-7560457C062C}</b:Guid>
    <b:Author>
      <b:Author>
        <b:NameList>
          <b:Person>
            <b:Last>Ramírez</b:Last>
            <b:First>René</b:First>
          </b:Person>
        </b:NameList>
      </b:Author>
    </b:Author>
    <b:Title>  Tercera Ola de la Transformación del Ecuador</b:Title>
    <b:JournalName>  Tercera Ola de la Transformación del Ecuador</b:JournalName>
    <b:Year>2013</b:Year>
    <b:RefOrder>31</b:RefOrder>
  </b:Source>
  <b:Source>
    <b:Tag>Nee12</b:Tag>
    <b:SourceType>JournalArticle</b:SourceType>
    <b:Guid>{E695D441-BAB5-4922-B6D6-153889307A4F}</b:Guid>
    <b:Author>
      <b:Author>
        <b:NameList>
          <b:Person>
            <b:Last>Neef</b:Last>
            <b:First>Maxfrend</b:First>
          </b:Person>
        </b:NameList>
      </b:Author>
    </b:Author>
    <b:Title>Escala de Desarrollo Humano</b:Title>
    <b:JournalName>Escala de Desarrollo Humano</b:JournalName>
    <b:Year>2012</b:Year>
    <b:RefOrder>32</b:RefOrder>
  </b:Source>
  <b:Source>
    <b:Tag>IES12</b:Tag>
    <b:SourceType>JournalArticle</b:SourceType>
    <b:Guid>{9CA318BF-5F30-42E4-9AEC-12FB4491220C}</b:Guid>
    <b:Author>
      <b:Author>
        <b:NameList>
          <b:Person>
            <b:Last>IESALC</b:Last>
            <b:First>Informe</b:First>
            <b:Middle>de Educación Superior</b:Middle>
          </b:Person>
        </b:NameList>
      </b:Author>
    </b:Author>
    <b:Title>Informe sobre el aseguramiento de la Calidad de Educación Superior</b:Title>
    <b:JournalName>Informe sobre el aseguramiento de la Calidad de Educación Superior</b:JournalName>
    <b:Year>2012</b:Year>
    <b:RefOrder>33</b:RefOrder>
  </b:Source>
  <b:Source>
    <b:Tag>Art09</b:Tag>
    <b:SourceType>JournalArticle</b:SourceType>
    <b:Guid>{41BEF0E6-2B34-48C8-B14E-0A6503DA2F46}</b:Guid>
    <b:Author>
      <b:Author>
        <b:NameList>
          <b:Person>
            <b:Last>Artunduaga</b:Last>
            <b:First>Martha</b:First>
          </b:Person>
        </b:NameList>
      </b:Author>
    </b:Author>
    <b:Title>Variables del rendimiento academico Universitario</b:Title>
    <b:JournalName>Deserción educativa</b:JournalName>
    <b:Year>2009</b:Year>
    <b:RefOrder>34</b:RefOrder>
  </b:Source>
  <b:Source>
    <b:Tag>Ort10</b:Tag>
    <b:SourceType>JournalArticle</b:SourceType>
    <b:Guid>{D3C902D7-4B52-45B2-96F9-F5E6B32B01C5}</b:Guid>
    <b:Author>
      <b:Author>
        <b:NameList>
          <b:Person>
            <b:Last>Ortiz</b:Last>
            <b:First>Jennifer</b:First>
          </b:Person>
        </b:NameList>
      </b:Author>
    </b:Author>
    <b:Title>Metodología de investigación</b:Title>
    <b:JournalName>Métodos y técnicas</b:JournalName>
    <b:Year>2010</b:Year>
    <b:RefOrder>35</b:RefOrder>
  </b:Source>
  <b:Source>
    <b:Tag>Bla13</b:Tag>
    <b:SourceType>JournalArticle</b:SourceType>
    <b:Guid>{0DD9E1E0-B587-4B09-A001-C702A31C9700}</b:Guid>
    <b:Author>
      <b:Author>
        <b:NameList>
          <b:Person>
            <b:Last>Blanco</b:Last>
            <b:First>Ivi</b:First>
          </b:Person>
        </b:NameList>
      </b:Author>
    </b:Author>
    <b:Title>Métodos y técnicas</b:Title>
    <b:JournalName>Métodos y técnicas</b:JournalName>
    <b:Year>2013</b:Year>
    <b:RefOrder>36</b:RefOrder>
  </b:Source>
  <b:Source>
    <b:Tag>San092</b:Tag>
    <b:SourceType>Book</b:SourceType>
    <b:Guid>{7AC390A8-E0F5-438A-92CE-200D9A4F695E}</b:Guid>
    <b:Author>
      <b:Author>
        <b:NameList>
          <b:Person>
            <b:Last>Santana Vega</b:Last>
            <b:First>Lidia</b:First>
          </b:Person>
        </b:NameList>
      </b:Author>
    </b:Author>
    <b:Title>Orientación educativa e intervencion psicopedagógica</b:Title>
    <b:Year>2009</b:Year>
    <b:RefOrder>18</b:RefOrder>
  </b:Source>
  <b:Source>
    <b:Tag>Fac13</b:Tag>
    <b:SourceType>JournalArticle</b:SourceType>
    <b:Guid>{E0052430-B241-4B81-A978-BD4CC22B9AF1}</b:Guid>
    <b:Author>
      <b:Author>
        <b:NameList>
          <b:Person>
            <b:Last>Educación</b:Last>
            <b:First>Facultad</b:First>
            <b:Middle>de Ciencias de la</b:Middle>
          </b:Person>
        </b:NameList>
      </b:Author>
    </b:Author>
    <b:Title>Revista de docencia universitaria</b:Title>
    <b:Year>2013</b:Year>
    <b:JournalName>REDU</b:JournalName>
    <b:RefOrder>38</b:RefOrder>
  </b:Source>
  <b:Source>
    <b:Tag>Bol12</b:Tag>
    <b:SourceType>JournalArticle</b:SourceType>
    <b:Guid>{36666284-0FEB-4BED-920E-302E208A4601}</b:Guid>
    <b:Author>
      <b:Author>
        <b:NameList>
          <b:Person>
            <b:Last>Boletín</b:Last>
            <b:First>Colombia</b:First>
          </b:Person>
        </b:NameList>
      </b:Author>
    </b:Author>
    <b:Title> Educación Superior, Colombia</b:Title>
    <b:JournalName>El Boletín No. 20</b:JournalName>
    <b:Year>2012</b:Year>
    <b:RefOrder>6</b:RefOrder>
  </b:Source>
  <b:Source>
    <b:Tag>Muñ091</b:Tag>
    <b:SourceType>Book</b:SourceType>
    <b:Guid>{1B7F42BE-A89D-4704-AD0A-9D3DB35B81B4}</b:Guid>
    <b:Author>
      <b:Author>
        <b:NameList>
          <b:Person>
            <b:Last>Muñoz Seca</b:Last>
            <b:First>Beatriz</b:First>
          </b:Person>
        </b:NameList>
      </b:Author>
    </b:Author>
    <b:Title>Portafolio de Dimensiones Educativas</b:Title>
    <b:Year>2009</b:Year>
    <b:RefOrder>4</b:RefOrder>
  </b:Source>
  <b:Source>
    <b:Tag>Día09</b:Tag>
    <b:SourceType>JournalArticle</b:SourceType>
    <b:Guid>{1B5B99E0-8B30-4737-9B5D-07F979FF950D}</b:Guid>
    <b:Author>
      <b:Author>
        <b:NameList>
          <b:Person>
            <b:Last>Díaz</b:Last>
            <b:First>A</b:First>
          </b:Person>
        </b:NameList>
      </b:Author>
    </b:Author>
    <b:Title>Grupo Focal</b:Title>
    <b:Year>2009</b:Year>
    <b:RefOrder>5</b:RefOrder>
  </b:Source>
  <b:Source>
    <b:Tag>Con081</b:Tag>
    <b:SourceType>Book</b:SourceType>
    <b:Guid>{BEFD1AC3-786D-4D94-8C30-85A7E43F63D2}</b:Guid>
    <b:Author>
      <b:Author>
        <b:NameList>
          <b:Person>
            <b:Last>Constitución</b:Last>
            <b:First>Ecuador</b:First>
          </b:Person>
        </b:NameList>
      </b:Author>
    </b:Author>
    <b:Title>Constitución del Ecuador</b:Title>
    <b:Year>2008</b:Year>
    <b:RefOrder>12</b:RefOrder>
  </b:Source>
  <b:Source>
    <b:Tag>CIN12</b:Tag>
    <b:SourceType>Report</b:SourceType>
    <b:Guid>{58BA0741-5350-42C4-B977-9FCF34678629}</b:Guid>
    <b:Author>
      <b:Author>
        <b:NameList>
          <b:Person>
            <b:Last>CINDA</b:Last>
            <b:First>Aseguramiento</b:First>
            <b:Middle>de la calidad de la educación superi</b:Middle>
          </b:Person>
        </b:NameList>
      </b:Author>
    </b:Author>
    <b:Title>Informe de Aseguramiento de la calidad de la educación superior</b:Title>
    <b:Year>2012</b:Year>
    <b:RefOrder>1</b:RefOrder>
  </b:Source>
  <b:Source>
    <b:Tag>Dep09</b:Tag>
    <b:SourceType>Report</b:SourceType>
    <b:Guid>{0BAF3ED5-824F-4715-A8C2-5E842DA963A4}</b:Guid>
    <b:Author>
      <b:Author>
        <b:NameList>
          <b:Person>
            <b:Last>Departamento de economía</b:Last>
            <b:First>Universidad</b:First>
            <b:Middle>de Chile</b:Middle>
          </b:Person>
        </b:NameList>
      </b:Author>
    </b:Author>
    <b:Title>Estudio sobre las causas de deserción Universitaria</b:Title>
    <b:Year>2009</b:Year>
    <b:RefOrder>39</b:RefOrder>
  </b:Source>
  <b:Source>
    <b:Tag>Ram131</b:Tag>
    <b:SourceType>Report</b:SourceType>
    <b:Guid>{B5DD66FB-1E22-4CC3-A9C5-9CD44AE49ACE}</b:Guid>
    <b:Author>
      <b:Author>
        <b:NameList>
          <b:Person>
            <b:Last>Ramírez</b:Last>
            <b:First>René</b:First>
          </b:Person>
        </b:NameList>
      </b:Author>
    </b:Author>
    <b:Title>Tercera Ola de la transformación de la Educación Superior en Ecuador. </b:Title>
    <b:Year>2013</b:Year>
    <b:RefOrder>40</b:RefOrder>
  </b:Source>
  <b:Source>
    <b:Tag>Bol121</b:Tag>
    <b:SourceType>Report</b:SourceType>
    <b:Guid>{2CCB64B8-DA71-431A-A46F-3E0A769D8B6A}</b:Guid>
    <b:Author>
      <b:Author>
        <b:NameList>
          <b:Person>
            <b:Last>Boletín. No 20</b:Last>
            <b:First>Colombia</b:First>
          </b:Person>
        </b:NameList>
      </b:Author>
    </b:Author>
    <b:Title>Capital Humano para el avance Colombiano</b:Title>
    <b:Year>2012</b:Year>
    <b:RefOrder>41</b:RefOrder>
  </b:Source>
  <b:Source>
    <b:Tag>Ado11</b:Tag>
    <b:SourceType>JournalArticle</b:SourceType>
    <b:Guid>{4A625D17-A30D-4EBF-B627-BC89A90106E3}</b:Guid>
    <b:Author>
      <b:Author>
        <b:NameList>
          <b:Person>
            <b:Last>Adolfo</b:Last>
            <b:First>Fernánez</b:First>
            <b:Middle>Barroso</b:Middle>
          </b:Person>
        </b:NameList>
      </b:Author>
    </b:Author>
    <b:Title>Evolución y Desarrollo de los Modelos de Intervención Psicoeducativa en España</b:Title>
    <b:Year>2011</b:Year>
    <b:JournalName>ISSN: 1135-755X DOI</b:JournalName>
    <b:RefOrder>42</b:RefOrder>
  </b:Source>
  <b:Source>
    <b:Tag>Álv091</b:Tag>
    <b:SourceType>JournalArticle</b:SourceType>
    <b:Guid>{0FEDBDCE-39A3-4AF0-A2DB-2565CD1F3791}</b:Guid>
    <b:Author>
      <b:Author>
        <b:NameList>
          <b:Person>
            <b:Last>Álvarez Rojo</b:Last>
            <b:First>Victor</b:First>
          </b:Person>
        </b:NameList>
      </b:Author>
    </b:Author>
    <b:Title>Perfiles y Competencia Docente en el contexto actual de la educación Universitaria</b:Title>
    <b:JournalName>REOP vol. 20</b:JournalName>
    <b:Year>2009</b:Year>
    <b:RefOrder>43</b:RefOrder>
  </b:Source>
  <b:Source>
    <b:Tag>Jim10</b:Tag>
    <b:SourceType>JournalArticle</b:SourceType>
    <b:Guid>{7094CC8C-1825-4310-AC28-CCFA4343F985}</b:Guid>
    <b:Author>
      <b:Author>
        <b:NameList>
          <b:Person>
            <b:Last>Jiménez Rodríguez</b:Last>
            <b:First>Jorge</b:First>
          </b:Person>
        </b:NameList>
      </b:Author>
    </b:Author>
    <b:Title>Hacia un nuevo proyecto de tutoría Universitaria, en el espacio Europeo</b:Title>
    <b:JournalName>REOP. vol 21, pp 37-44</b:JournalName>
    <b:Year>2010</b:Year>
    <b:RefOrder>44</b:RefOrder>
  </b:Source>
  <b:Source>
    <b:Tag>Jar10</b:Tag>
    <b:SourceType>JournalArticle</b:SourceType>
    <b:Guid>{65460A6E-88D1-4693-8993-DC44ADDBB22B}</b:Guid>
    <b:Author>
      <b:Author>
        <b:NameList>
          <b:Person>
            <b:Last>Jariot</b:Last>
            <b:First>Merce</b:First>
          </b:Person>
        </b:NameList>
      </b:Author>
    </b:Author>
    <b:Title>Cómo implicar al equipo docente en el proceso de orientación.</b:Title>
    <b:JournalName>REOP vol. 11</b:JournalName>
    <b:Year>2010</b:Year>
    <b:RefOrder>45</b:RefOrder>
  </b:Source>
  <b:Source>
    <b:Tag>Día13</b:Tag>
    <b:SourceType>JournalArticle</b:SourceType>
    <b:Guid>{7BF9C672-0474-4154-8E71-AAA1BABFEF8F}</b:Guid>
    <b:Author>
      <b:Author>
        <b:NameList>
          <b:Person>
            <b:Last>Díaz</b:Last>
            <b:First>Gladys</b:First>
          </b:Person>
          <b:Person>
            <b:Last>Coicaud</b:Last>
            <b:First>Claudia</b:First>
          </b:Person>
          <b:Person>
            <b:Last>Pereira</b:Last>
            <b:First>Cristina</b:First>
          </b:Person>
        </b:NameList>
      </b:Author>
    </b:Author>
    <b:Title>Algunas reflexiones sobre las prácticas en el campo psicopedagógico ante las interpelaciones actuales</b:Title>
    <b:JournalName>Pilquen</b:JournalName>
    <b:Year>2013</b:Year>
    <b:RefOrder>46</b:RefOrder>
  </b:Source>
  <b:Source>
    <b:Tag>Con082</b:Tag>
    <b:SourceType>Book</b:SourceType>
    <b:Guid>{B268D3B1-86B3-499F-A816-6C56088A8DFD}</b:Guid>
    <b:Author>
      <b:Author>
        <b:NameList>
          <b:Person>
            <b:Last>Constitución</b:Last>
            <b:First>Ecuador</b:First>
          </b:Person>
        </b:NameList>
      </b:Author>
    </b:Author>
    <b:Title>Constitución del Ecuador</b:Title>
    <b:Year>2008</b:Year>
    <b:RefOrder>47</b:RefOrder>
  </b:Source>
  <b:Source>
    <b:Tag>Ley11</b:Tag>
    <b:SourceType>Book</b:SourceType>
    <b:Guid>{2F63AF1D-E48A-41B9-AF7C-8FC7E93B05A4}</b:Guid>
    <b:Author>
      <b:Author>
        <b:NameList>
          <b:Person>
            <b:Last>Superior</b:Last>
            <b:First>Ley</b:First>
            <b:Middle>Organica de Educación</b:Middle>
          </b:Person>
        </b:NameList>
      </b:Author>
    </b:Author>
    <b:Title>Ley Orgánica de Educación Superior</b:Title>
    <b:Year>2011</b:Year>
    <b:RefOrder>48</b:RefOrder>
  </b:Source>
  <b:Source>
    <b:Tag>Reg11</b:Tag>
    <b:SourceType>Book</b:SourceType>
    <b:Guid>{F6245D79-5B92-4D62-AC11-A1DFED0020EA}</b:Guid>
    <b:Author>
      <b:Author>
        <b:NameList>
          <b:Person>
            <b:Last>LOEI</b:Last>
            <b:First>Reglamento</b:First>
          </b:Person>
        </b:NameList>
      </b:Author>
    </b:Author>
    <b:Title>Reglamento de la Ley Orgánica de Educación Superior</b:Title>
    <b:Year>2011</b:Year>
    <b:RefOrder>49</b:RefOrder>
  </b:Source>
  <b:Source>
    <b:Tag>Reg13</b:Tag>
    <b:SourceType>Book</b:SourceType>
    <b:Guid>{F63B6E8C-B61F-47AC-A855-FDC2B4191BA8}</b:Guid>
    <b:Author>
      <b:Author>
        <b:NameList>
          <b:Person>
            <b:Last>Académico</b:Last>
            <b:First>Reglamento</b:First>
            <b:Middle>de Régimen</b:Middle>
          </b:Person>
        </b:NameList>
      </b:Author>
    </b:Author>
    <b:Title>Reglamento de Régimen Académico, suplemento 136</b:Title>
    <b:Year>2013</b:Year>
    <b:RefOrder>50</b:RefOrder>
  </b:Source>
  <b:Source>
    <b:Tag>Sam103</b:Tag>
    <b:SourceType>Book</b:SourceType>
    <b:Guid>{A4DA52C5-4AD8-406C-B49F-1E729076F475}</b:Guid>
    <b:Author>
      <b:Author>
        <b:NameList>
          <b:Person>
            <b:Last>Sampieri</b:Last>
            <b:First>Roberto</b:First>
          </b:Person>
          <b:Person>
            <b:Last>Fernández</b:Last>
            <b:First>Carlos</b:First>
          </b:Person>
        </b:NameList>
      </b:Author>
    </b:Author>
    <b:Title>Metodología de Investigación</b:Title>
    <b:Year>2010</b:Year>
    <b:RefOrder>3</b:RefOrder>
  </b:Source>
  <b:Source>
    <b:Tag>Pér10</b:Tag>
    <b:SourceType>JournalArticle</b:SourceType>
    <b:Guid>{937478BD-970C-4B09-9E31-4DAFDF0AC900}</b:Guid>
    <b:Author>
      <b:Author>
        <b:NameList>
          <b:Person>
            <b:Last>Pérez Gómez</b:Last>
            <b:First>Ángel</b:First>
          </b:Person>
        </b:NameList>
      </b:Author>
    </b:Author>
    <b:Title>Nuevas exigencias y escenarios para la profesión docente enla era de la información e incertidumbre</b:Title>
    <b:Year>2010</b:Year>
    <b:JournalName>Revista Interuniversitaria de Formación de Profesorado</b:JournalName>
    <b:RefOrder>10</b:RefOrder>
  </b:Source>
  <b:Source>
    <b:Tag>Lar131</b:Tag>
    <b:SourceType>Book</b:SourceType>
    <b:Guid>{1C3ECE66-4B8C-4891-9710-A38515253D3C}</b:Guid>
    <b:Author>
      <b:Author>
        <b:NameList>
          <b:Person>
            <b:Last>Larrea Granados</b:Last>
            <b:First>Elizabeth</b:First>
          </b:Person>
        </b:NameList>
      </b:Author>
    </b:Author>
    <b:Title>El cirriculo de la Educación Superior desde la complejidad sistémica</b:Title>
    <b:Year>2013</b:Year>
    <b:RefOrder>51</b:RefOrder>
  </b:Source>
  <b:Source>
    <b:Tag>San093</b:Tag>
    <b:SourceType>JournalArticle</b:SourceType>
    <b:Guid>{769506C8-4E70-4E77-84F9-BA6EA223AC96}</b:Guid>
    <b:Author>
      <b:Author>
        <b:NameList>
          <b:Person>
            <b:Last>Sanchiz</b:Last>
            <b:First>María</b:First>
            <b:Middle>Luisa</b:Middle>
          </b:Person>
        </b:NameList>
      </b:Author>
    </b:Author>
    <b:Title>Modelos de Intervención y Orientación Psicopedagógica</b:Title>
    <b:Year>2009</b:Year>
    <b:JournalName>ISBN:978-84-691-4663-7-64</b:JournalName>
    <b:RefOrder>14</b:RefOrder>
  </b:Source>
  <b:Source>
    <b:Tag>San12</b:Tag>
    <b:SourceType>JournalArticle</b:SourceType>
    <b:Guid>{0AC0B8A0-9EB3-42B1-BBD5-FC986721D5EF}</b:Guid>
    <b:Author>
      <b:Author>
        <b:NameList>
          <b:Person>
            <b:Last>Santana</b:Last>
            <b:First>Lidia</b:First>
          </b:Person>
        </b:NameList>
      </b:Author>
    </b:Author>
    <b:Title>Investigación de la tutoría academica</b:Title>
    <b:Year>2012</b:Year>
    <b:RefOrder>19</b:RefOrder>
  </b:Source>
  <b:Source>
    <b:Tag>Bru131</b:Tag>
    <b:SourceType>JournalArticle</b:SourceType>
    <b:Guid>{C0572B6E-27C9-4965-B3C6-96B11B38DF46}</b:Guid>
    <b:Author>
      <b:Author>
        <b:NameList>
          <b:Person>
            <b:Last>Bruner</b:Last>
            <b:First>José</b:First>
          </b:Person>
        </b:NameList>
      </b:Author>
    </b:Author>
    <b:Title>Información, análisis y discusión sobre educación y políticas educacionales</b:Title>
    <b:Year>2013</b:Year>
    <b:RefOrder>7</b:RefOrder>
  </b:Source>
  <b:Source>
    <b:Tag>Tob10</b:Tag>
    <b:SourceType>JournalArticle</b:SourceType>
    <b:Guid>{AACCAA00-EF9B-49F9-9B33-D0EB68197B90}</b:Guid>
    <b:Author>
      <b:Author>
        <b:NameList>
          <b:Person>
            <b:Last>Tobón</b:Last>
            <b:First>Sergio</b:First>
          </b:Person>
          <b:Person>
            <b:Last>Pimienta</b:Last>
            <b:First>Julio</b:First>
          </b:Person>
        </b:NameList>
      </b:Author>
    </b:Author>
    <b:Title>Secuencias didácticas: aprendizaje y evaluación de competencias. </b:Title>
    <b:JournalName>Pearson Educación</b:JournalName>
    <b:Year>2010</b:Year>
    <b:RefOrder>11</b:RefOrder>
  </b:Source>
  <b:Source>
    <b:Tag>Com091</b:Tag>
    <b:SourceType>Report</b:SourceType>
    <b:Guid>{5DCEAF9F-7527-4CA3-9083-0C6BEC26E5FA}</b:Guid>
    <b:Author>
      <b:Author>
        <b:NameList>
          <b:Person>
            <b:Last>Compan Poveda</b:Last>
            <b:First>Elena</b:First>
          </b:Person>
        </b:NameList>
      </b:Author>
    </b:Author>
    <b:Year>2009</b:Year>
    <b:RefOrder>8</b:RefOrder>
  </b:Source>
  <b:Source>
    <b:Tag>Oli131</b:Tag>
    <b:SourceType>JournalArticle</b:SourceType>
    <b:Guid>{86707E40-8C7C-4617-A425-ECE6CA7F0B60}</b:Guid>
    <b:Author>
      <b:Author>
        <b:NameList>
          <b:Person>
            <b:Last>Olivero</b:Last>
            <b:First>Ivana</b:First>
          </b:Person>
        </b:NameList>
      </b:Author>
    </b:Author>
    <b:Year>2013</b:Year>
    <b:RefOrder>13</b:RefOrder>
  </b:Source>
  <b:Source>
    <b:Tag>Gon05</b:Tag>
    <b:SourceType>Report</b:SourceType>
    <b:Guid>{92967EE3-C689-48FE-A305-09373DEAB6D8}</b:Guid>
    <b:Author>
      <b:Author>
        <b:NameList>
          <b:Person>
            <b:Last>González</b:Last>
            <b:First>Luis</b:First>
            <b:Middle>Eduardo</b:Middle>
          </b:Person>
        </b:NameList>
      </b:Author>
    </b:Author>
    <b:Title>Repitencia y Deserción Universitaria en América Latina</b:Title>
    <b:Year>2005. pag 157</b:Year>
    <b:RefOrder>2</b:RefOrder>
  </b:Source>
  <b:Source>
    <b:Tag>Lar13</b:Tag>
    <b:SourceType>Report</b:SourceType>
    <b:Guid>{4566889D-58A9-49F4-BA5E-49B118F80B6D}</b:Guid>
    <b:Title>Consideraciones para la elaboración del nuevo modelo de formación Universitaria</b:Title>
    <b:Year>2013</b:Year>
    <b:Author>
      <b:Author>
        <b:NameList>
          <b:Person>
            <b:Last>Elizabeht</b:Last>
            <b:First>Larrea</b:First>
            <b:Middle>Granados</b:Middle>
          </b:Person>
        </b:NameList>
      </b:Author>
    </b:Author>
    <b:RefOrder>16</b:RefOrder>
  </b:Source>
  <b:Source>
    <b:Tag>Por09</b:Tag>
    <b:SourceType>JournalArticle</b:SourceType>
    <b:Guid>{A46D34CA-F5BA-40D2-A164-D986E31CB905}</b:Guid>
    <b:Year>2009</b:Year>
    <b:Author>
      <b:Author>
        <b:NameList>
          <b:Person>
            <b:Last>Porras L</b:Last>
            <b:First>Antonia</b:First>
          </b:Person>
        </b:NameList>
      </b:Author>
    </b:Author>
    <b:Title>Modelos de Intervención Psicopedagógica</b:Title>
    <b:RefOrder>20</b:RefOrder>
  </b:Source>
  <b:Source>
    <b:Tag>Edg11</b:Tag>
    <b:SourceType>BookSection</b:SourceType>
    <b:Guid>{D25951C0-C952-421F-8488-BF4D118C9AFF}</b:Guid>
    <b:Year>2011</b:Year>
    <b:Author>
      <b:Author>
        <b:NameList>
          <b:Person>
            <b:Last>Edgar</b:Last>
            <b:First>Morin</b:First>
          </b:Person>
        </b:NameList>
      </b:Author>
    </b:Author>
    <b:RefOrder>21</b:RefOrder>
  </b:Source>
  <b:Source>
    <b:Tag>Ana09</b:Tag>
    <b:SourceType>JournalArticle</b:SourceType>
    <b:Guid>{764DE997-53E1-42B2-B232-E39F1C406CBF}</b:Guid>
    <b:Title>Modelo de Intervención Piscopedagógica</b:Title>
    <b:Year>2009</b:Year>
    <b:Author>
      <b:Author>
        <b:NameList>
          <b:Person>
            <b:Last>Ana</b:Last>
            <b:First>Madrigal</b:First>
          </b:Person>
        </b:NameList>
      </b:Author>
    </b:Author>
    <b:RefOrder>22</b:RefOrder>
  </b:Source>
  <b:Source>
    <b:Tag>Álv09</b:Tag>
    <b:SourceType>JournalArticle</b:SourceType>
    <b:Guid>{651CDB24-A062-4023-B43D-FE8392814991}</b:Guid>
    <b:Title>Intervención Psicopedagógica</b:Title>
    <b:Year>2009</b:Year>
    <b:Author>
      <b:Author>
        <b:NameList>
          <b:Person>
            <b:Last>Álvarez González</b:Last>
            <b:First>Manuel</b:First>
          </b:Person>
        </b:NameList>
      </b:Author>
    </b:Author>
    <b:RefOrder>23</b:RefOrder>
  </b:Source>
  <b:Source>
    <b:Tag>Pla12</b:Tag>
    <b:SourceType>Report</b:SourceType>
    <b:Guid>{6521BB16-BD81-4300-9F45-4DD5E1514FBC}</b:Guid>
    <b:Title>Plan Institucional de Tutorías, Universidad Laica Eloy Alfaro de Manabí;</b:Title>
    <b:Year>pag,5 2012</b:Year>
    <b:Author>
      <b:Author>
        <b:NameList>
          <b:Person>
            <b:Last>Plan Institucional de Tutorías</b:Last>
            <b:First>Universidad Laica Eloy Alfaro de Manabí</b:First>
          </b:Person>
        </b:NameList>
      </b:Author>
    </b:Author>
    <b:RefOrder>24</b:RefOrder>
  </b:Source>
  <b:Source>
    <b:Tag>Hab11</b:Tag>
    <b:SourceType>JournalArticle</b:SourceType>
    <b:Guid>{732AC84F-D63A-4F2E-87C9-71C46956B8A3}</b:Guid>
    <b:Title>Teoría de la comunicación</b:Title>
    <b:Year>2011</b:Year>
    <b:Author>
      <b:Author>
        <b:NameList>
          <b:Person>
            <b:Last>Habermas</b:Last>
          </b:Person>
        </b:NameList>
      </b:Author>
    </b:Author>
    <b:RefOrder>37</b:RefOrder>
  </b:Source>
</b:Sources>
</file>

<file path=customXml/itemProps1.xml><?xml version="1.0" encoding="utf-8"?>
<ds:datastoreItem xmlns:ds="http://schemas.openxmlformats.org/officeDocument/2006/customXml" ds:itemID="{9A0F679B-BE8F-412C-A08D-AB0B3ABC4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2633</Words>
  <Characters>14485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TÍTULO LARGO</vt:lpstr>
    </vt:vector>
  </TitlesOfParts>
  <Company/>
  <LinksUpToDate>false</LinksUpToDate>
  <CharactersWithSpaces>17084</CharactersWithSpaces>
  <SharedDoc>false</SharedDoc>
  <HLinks>
    <vt:vector size="6" baseType="variant">
      <vt:variant>
        <vt:i4>3342382</vt:i4>
      </vt:variant>
      <vt:variant>
        <vt:i4>0</vt:i4>
      </vt:variant>
      <vt:variant>
        <vt:i4>0</vt:i4>
      </vt:variant>
      <vt:variant>
        <vt:i4>5</vt:i4>
      </vt:variant>
      <vt:variant>
        <vt:lpwstr>http://revistas.utm.edu.ec/index.php/Cognosis/index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cp:lastModifiedBy>Usuario de Windows</cp:lastModifiedBy>
  <cp:revision>2</cp:revision>
  <dcterms:created xsi:type="dcterms:W3CDTF">2020-03-13T04:16:00Z</dcterms:created>
  <dcterms:modified xsi:type="dcterms:W3CDTF">2020-03-13T04:16:00Z</dcterms:modified>
</cp:coreProperties>
</file>